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0262" w14:textId="5C909A9A" w:rsidR="00B960E3" w:rsidRPr="004005C8" w:rsidRDefault="00BF36A3" w:rsidP="005E656E">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Department of Anthropology</w:t>
      </w:r>
    </w:p>
    <w:p w14:paraId="491B41CB" w14:textId="77777777" w:rsidR="00DD138E" w:rsidRDefault="00DD138E" w:rsidP="005E656E">
      <w:pPr>
        <w:spacing w:after="0" w:line="240" w:lineRule="auto"/>
        <w:jc w:val="center"/>
        <w:outlineLvl w:val="0"/>
        <w:rPr>
          <w:rFonts w:ascii="Times New Roman" w:hAnsi="Times New Roman" w:cs="Times New Roman"/>
          <w:b/>
          <w:sz w:val="24"/>
          <w:szCs w:val="24"/>
        </w:rPr>
      </w:pPr>
      <w:r w:rsidRPr="004005C8">
        <w:rPr>
          <w:rFonts w:ascii="Times New Roman" w:hAnsi="Times New Roman" w:cs="Times New Roman"/>
          <w:b/>
          <w:sz w:val="24"/>
          <w:szCs w:val="24"/>
        </w:rPr>
        <w:t>Policies on Specialized Faculty</w:t>
      </w:r>
    </w:p>
    <w:p w14:paraId="3FD23DE4" w14:textId="469D3001" w:rsidR="00C668EB" w:rsidRPr="004005C8" w:rsidRDefault="00584F3B" w:rsidP="005E656E">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April 27</w:t>
      </w:r>
      <w:bookmarkStart w:id="0" w:name="_GoBack"/>
      <w:bookmarkEnd w:id="0"/>
      <w:r w:rsidR="0051240C">
        <w:rPr>
          <w:rFonts w:ascii="Times New Roman" w:hAnsi="Times New Roman" w:cs="Times New Roman"/>
          <w:b/>
          <w:sz w:val="24"/>
          <w:szCs w:val="24"/>
        </w:rPr>
        <w:t>, 2018</w:t>
      </w:r>
    </w:p>
    <w:p w14:paraId="6948D400" w14:textId="77777777" w:rsidR="00DD138E" w:rsidRPr="00DD138E" w:rsidRDefault="00DD138E" w:rsidP="000E02FC">
      <w:pPr>
        <w:spacing w:after="0" w:line="240" w:lineRule="auto"/>
        <w:rPr>
          <w:rFonts w:ascii="Times New Roman" w:hAnsi="Times New Roman" w:cs="Times New Roman"/>
          <w:sz w:val="24"/>
          <w:szCs w:val="24"/>
        </w:rPr>
      </w:pPr>
    </w:p>
    <w:p w14:paraId="29F9F059" w14:textId="424E9492" w:rsidR="00DD138E" w:rsidRDefault="00DD138E" w:rsidP="001D558B">
      <w:pPr>
        <w:spacing w:after="0" w:line="240" w:lineRule="auto"/>
        <w:rPr>
          <w:rFonts w:ascii="Times New Roman" w:hAnsi="Times New Roman" w:cs="Times New Roman"/>
          <w:sz w:val="24"/>
          <w:szCs w:val="24"/>
        </w:rPr>
      </w:pPr>
      <w:r w:rsidRPr="00DD138E">
        <w:rPr>
          <w:rFonts w:ascii="Times New Roman" w:hAnsi="Times New Roman" w:cs="Times New Roman"/>
          <w:sz w:val="24"/>
          <w:szCs w:val="24"/>
        </w:rPr>
        <w:t xml:space="preserve">The campus guidelines for </w:t>
      </w:r>
      <w:r w:rsidR="001D558B">
        <w:rPr>
          <w:rFonts w:ascii="Times New Roman" w:hAnsi="Times New Roman" w:cs="Times New Roman"/>
          <w:sz w:val="24"/>
          <w:szCs w:val="24"/>
        </w:rPr>
        <w:t xml:space="preserve">the appointment of </w:t>
      </w:r>
      <w:r w:rsidRPr="00DD138E">
        <w:rPr>
          <w:rFonts w:ascii="Times New Roman" w:hAnsi="Times New Roman" w:cs="Times New Roman"/>
          <w:sz w:val="24"/>
          <w:szCs w:val="24"/>
        </w:rPr>
        <w:t>s</w:t>
      </w:r>
      <w:r w:rsidR="001D558B">
        <w:rPr>
          <w:rFonts w:ascii="Times New Roman" w:hAnsi="Times New Roman" w:cs="Times New Roman"/>
          <w:sz w:val="24"/>
          <w:szCs w:val="24"/>
        </w:rPr>
        <w:t>pecialized faculty are provided</w:t>
      </w:r>
      <w:r w:rsidRPr="00DD138E">
        <w:rPr>
          <w:rFonts w:ascii="Times New Roman" w:hAnsi="Times New Roman" w:cs="Times New Roman"/>
          <w:sz w:val="24"/>
          <w:szCs w:val="24"/>
        </w:rPr>
        <w:t xml:space="preserve"> in </w:t>
      </w:r>
      <w:hyperlink r:id="rId8" w:history="1">
        <w:r w:rsidRPr="001B375B">
          <w:rPr>
            <w:rStyle w:val="Hyperlink"/>
            <w:rFonts w:ascii="Times New Roman" w:hAnsi="Times New Roman" w:cs="Times New Roman"/>
            <w:sz w:val="24"/>
            <w:szCs w:val="24"/>
          </w:rPr>
          <w:t>Provost Communication #25</w:t>
        </w:r>
      </w:hyperlink>
      <w:r w:rsidR="001D558B">
        <w:rPr>
          <w:rFonts w:ascii="Times New Roman" w:hAnsi="Times New Roman" w:cs="Times New Roman"/>
          <w:sz w:val="24"/>
          <w:szCs w:val="24"/>
        </w:rPr>
        <w:t xml:space="preserve"> (“</w:t>
      </w:r>
      <w:r w:rsidR="001D558B" w:rsidRPr="001D558B">
        <w:rPr>
          <w:rFonts w:ascii="Times New Roman" w:hAnsi="Times New Roman" w:cs="Times New Roman"/>
          <w:sz w:val="24"/>
          <w:szCs w:val="24"/>
        </w:rPr>
        <w:t>E</w:t>
      </w:r>
      <w:r w:rsidR="001D558B">
        <w:rPr>
          <w:rFonts w:ascii="Times New Roman" w:hAnsi="Times New Roman" w:cs="Times New Roman"/>
          <w:sz w:val="24"/>
          <w:szCs w:val="24"/>
        </w:rPr>
        <w:t xml:space="preserve">mployment Guidelines for Specialized Faculty Holding Non-Tenure System Positions”) and the campus guidelines for promotion are provided in </w:t>
      </w:r>
      <w:hyperlink r:id="rId9" w:history="1">
        <w:r w:rsidRPr="001B375B">
          <w:rPr>
            <w:rStyle w:val="Hyperlink"/>
            <w:rFonts w:ascii="Times New Roman" w:hAnsi="Times New Roman" w:cs="Times New Roman"/>
            <w:sz w:val="24"/>
            <w:szCs w:val="24"/>
          </w:rPr>
          <w:t>Provost Communication #26</w:t>
        </w:r>
      </w:hyperlink>
      <w:r w:rsidR="001D558B">
        <w:rPr>
          <w:rFonts w:ascii="Times New Roman" w:hAnsi="Times New Roman" w:cs="Times New Roman"/>
          <w:sz w:val="24"/>
          <w:szCs w:val="24"/>
        </w:rPr>
        <w:t xml:space="preserve"> (“Promotion to Teaching, Research, or Clinical Associate or Full Professor”)</w:t>
      </w:r>
      <w:r w:rsidRPr="00DD138E">
        <w:rPr>
          <w:rFonts w:ascii="Times New Roman" w:hAnsi="Times New Roman" w:cs="Times New Roman"/>
          <w:sz w:val="24"/>
          <w:szCs w:val="24"/>
        </w:rPr>
        <w:t xml:space="preserve">.  </w:t>
      </w:r>
      <w:r w:rsidR="00F81AC5">
        <w:rPr>
          <w:rFonts w:ascii="Times New Roman" w:hAnsi="Times New Roman" w:cs="Times New Roman"/>
          <w:sz w:val="24"/>
          <w:szCs w:val="24"/>
        </w:rPr>
        <w:t xml:space="preserve">LAS guidelines for appointment or promotion of specialized faculty </w:t>
      </w:r>
      <w:proofErr w:type="gramStart"/>
      <w:r w:rsidR="00F81AC5">
        <w:rPr>
          <w:rFonts w:ascii="Times New Roman" w:hAnsi="Times New Roman" w:cs="Times New Roman"/>
          <w:sz w:val="24"/>
          <w:szCs w:val="24"/>
        </w:rPr>
        <w:t>can be found</w:t>
      </w:r>
      <w:proofErr w:type="gramEnd"/>
      <w:r w:rsidR="00F81AC5">
        <w:rPr>
          <w:rFonts w:ascii="Times New Roman" w:hAnsi="Times New Roman" w:cs="Times New Roman"/>
          <w:sz w:val="24"/>
          <w:szCs w:val="24"/>
        </w:rPr>
        <w:t xml:space="preserve"> in Section 3.6 of the </w:t>
      </w:r>
      <w:hyperlink r:id="rId10" w:history="1">
        <w:r w:rsidR="00F81AC5" w:rsidRPr="00F81AC5">
          <w:rPr>
            <w:rStyle w:val="Hyperlink"/>
            <w:rFonts w:ascii="Times New Roman" w:hAnsi="Times New Roman" w:cs="Times New Roman"/>
            <w:sz w:val="24"/>
            <w:szCs w:val="24"/>
          </w:rPr>
          <w:t>Policy Manual for Faculty of the College of LAS</w:t>
        </w:r>
      </w:hyperlink>
      <w:r w:rsidR="00F81AC5">
        <w:rPr>
          <w:rFonts w:ascii="Times New Roman" w:hAnsi="Times New Roman" w:cs="Times New Roman"/>
          <w:sz w:val="24"/>
          <w:szCs w:val="24"/>
        </w:rPr>
        <w:t xml:space="preserve">.  </w:t>
      </w:r>
      <w:r w:rsidRPr="00DD138E">
        <w:rPr>
          <w:rFonts w:ascii="Times New Roman" w:hAnsi="Times New Roman" w:cs="Times New Roman"/>
          <w:sz w:val="24"/>
          <w:szCs w:val="24"/>
        </w:rPr>
        <w:t xml:space="preserve">The purpose of the current document is to provide </w:t>
      </w:r>
      <w:proofErr w:type="gramStart"/>
      <w:r w:rsidRPr="00DD138E">
        <w:rPr>
          <w:rFonts w:ascii="Times New Roman" w:hAnsi="Times New Roman" w:cs="Times New Roman"/>
          <w:sz w:val="24"/>
          <w:szCs w:val="24"/>
        </w:rPr>
        <w:t>more specific criteria for</w:t>
      </w:r>
      <w:r w:rsidR="00BF36A3">
        <w:rPr>
          <w:rFonts w:ascii="Times New Roman" w:hAnsi="Times New Roman" w:cs="Times New Roman"/>
          <w:sz w:val="24"/>
          <w:szCs w:val="24"/>
        </w:rPr>
        <w:t xml:space="preserve"> the Department of Anthropology</w:t>
      </w:r>
      <w:proofErr w:type="gramEnd"/>
      <w:r w:rsidRPr="00DD138E">
        <w:rPr>
          <w:rFonts w:ascii="Times New Roman" w:hAnsi="Times New Roman" w:cs="Times New Roman"/>
          <w:sz w:val="24"/>
          <w:szCs w:val="24"/>
        </w:rPr>
        <w:t>.</w:t>
      </w:r>
      <w:r w:rsidRPr="00BF36A3">
        <w:rPr>
          <w:rFonts w:ascii="Times New Roman" w:hAnsi="Times New Roman" w:cs="Times New Roman"/>
          <w:strike/>
          <w:sz w:val="24"/>
          <w:szCs w:val="24"/>
        </w:rPr>
        <w:t xml:space="preserve"> </w:t>
      </w:r>
    </w:p>
    <w:p w14:paraId="748652D5" w14:textId="77777777" w:rsidR="00DD138E" w:rsidRDefault="00DD138E" w:rsidP="000E02FC">
      <w:pPr>
        <w:spacing w:after="0" w:line="240" w:lineRule="auto"/>
        <w:rPr>
          <w:rFonts w:ascii="Times New Roman" w:hAnsi="Times New Roman" w:cs="Times New Roman"/>
          <w:sz w:val="24"/>
          <w:szCs w:val="24"/>
        </w:rPr>
      </w:pPr>
    </w:p>
    <w:p w14:paraId="6024A0AD" w14:textId="77777777" w:rsidR="00DD138E" w:rsidRDefault="0088331F" w:rsidP="005E656E">
      <w:pPr>
        <w:spacing w:after="0" w:line="240" w:lineRule="auto"/>
        <w:jc w:val="center"/>
        <w:outlineLvl w:val="0"/>
        <w:rPr>
          <w:rFonts w:ascii="Times New Roman" w:hAnsi="Times New Roman" w:cs="Times New Roman"/>
          <w:sz w:val="24"/>
          <w:szCs w:val="24"/>
        </w:rPr>
      </w:pPr>
      <w:r>
        <w:rPr>
          <w:rFonts w:ascii="Times New Roman" w:hAnsi="Times New Roman" w:cs="Times New Roman"/>
          <w:b/>
          <w:sz w:val="24"/>
          <w:szCs w:val="24"/>
        </w:rPr>
        <w:t>Instructors and Lecturers</w:t>
      </w:r>
    </w:p>
    <w:p w14:paraId="2A1AADDB" w14:textId="16C5DD63" w:rsidR="00BC07EF" w:rsidRDefault="0088331F"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Consistent with campus guidelines, the title of Lecturer </w:t>
      </w:r>
      <w:proofErr w:type="gramStart"/>
      <w:r>
        <w:rPr>
          <w:rFonts w:ascii="Times New Roman" w:hAnsi="Times New Roman" w:cs="Times New Roman"/>
          <w:sz w:val="24"/>
          <w:szCs w:val="24"/>
        </w:rPr>
        <w:t>is reserved</w:t>
      </w:r>
      <w:proofErr w:type="gramEnd"/>
      <w:r>
        <w:rPr>
          <w:rFonts w:ascii="Times New Roman" w:hAnsi="Times New Roman" w:cs="Times New Roman"/>
          <w:sz w:val="24"/>
          <w:szCs w:val="24"/>
        </w:rPr>
        <w:t xml:space="preserve"> for individuals holding a PhD or equivalent</w:t>
      </w:r>
      <w:r w:rsidR="009F22E6">
        <w:rPr>
          <w:rFonts w:ascii="Times New Roman" w:hAnsi="Times New Roman" w:cs="Times New Roman"/>
          <w:sz w:val="24"/>
          <w:szCs w:val="24"/>
        </w:rPr>
        <w:t xml:space="preserve"> whereas Instructor is used for those whose highest degree is a Master’s</w:t>
      </w:r>
      <w:r>
        <w:rPr>
          <w:rFonts w:ascii="Times New Roman" w:hAnsi="Times New Roman" w:cs="Times New Roman"/>
          <w:sz w:val="24"/>
          <w:szCs w:val="24"/>
        </w:rPr>
        <w:t xml:space="preserve">. The usual teaching load for instructors or lecturers in </w:t>
      </w:r>
      <w:r w:rsidR="00BC07EF">
        <w:rPr>
          <w:rFonts w:ascii="Times New Roman" w:hAnsi="Times New Roman" w:cs="Times New Roman"/>
          <w:sz w:val="24"/>
          <w:szCs w:val="24"/>
        </w:rPr>
        <w:t xml:space="preserve">Anthropology is </w:t>
      </w:r>
      <w:r w:rsidR="00BC07EF" w:rsidRPr="001D558B">
        <w:rPr>
          <w:rFonts w:ascii="Times New Roman" w:hAnsi="Times New Roman" w:cs="Times New Roman"/>
          <w:b/>
          <w:sz w:val="24"/>
          <w:szCs w:val="24"/>
        </w:rPr>
        <w:t>six</w:t>
      </w:r>
      <w:r w:rsidRPr="001D558B">
        <w:rPr>
          <w:rFonts w:ascii="Times New Roman" w:hAnsi="Times New Roman" w:cs="Times New Roman"/>
          <w:b/>
          <w:sz w:val="24"/>
          <w:szCs w:val="24"/>
        </w:rPr>
        <w:t xml:space="preserve"> courses per academic year</w:t>
      </w:r>
      <w:r w:rsidR="00D50168">
        <w:rPr>
          <w:rFonts w:ascii="Times New Roman" w:hAnsi="Times New Roman" w:cs="Times New Roman"/>
          <w:sz w:val="24"/>
          <w:szCs w:val="24"/>
        </w:rPr>
        <w:t xml:space="preserve"> (three courses per semester)</w:t>
      </w:r>
      <w:r>
        <w:rPr>
          <w:rFonts w:ascii="Times New Roman" w:hAnsi="Times New Roman" w:cs="Times New Roman"/>
          <w:sz w:val="24"/>
          <w:szCs w:val="24"/>
        </w:rPr>
        <w:t xml:space="preserve">. </w:t>
      </w:r>
      <w:r w:rsidR="00BF36A3">
        <w:rPr>
          <w:rFonts w:ascii="Times New Roman" w:hAnsi="Times New Roman" w:cs="Times New Roman"/>
          <w:sz w:val="24"/>
          <w:szCs w:val="24"/>
        </w:rPr>
        <w:t xml:space="preserve">This is with the expectation that the teaching assignments will not exceed four individual “preps” in a single academic year, and that one of the courses </w:t>
      </w:r>
      <w:proofErr w:type="gramStart"/>
      <w:r w:rsidR="00BF36A3">
        <w:rPr>
          <w:rFonts w:ascii="Times New Roman" w:hAnsi="Times New Roman" w:cs="Times New Roman"/>
          <w:sz w:val="24"/>
          <w:szCs w:val="24"/>
        </w:rPr>
        <w:t>may be replaced</w:t>
      </w:r>
      <w:proofErr w:type="gramEnd"/>
      <w:r w:rsidR="00BF36A3">
        <w:rPr>
          <w:rFonts w:ascii="Times New Roman" w:hAnsi="Times New Roman" w:cs="Times New Roman"/>
          <w:sz w:val="24"/>
          <w:szCs w:val="24"/>
        </w:rPr>
        <w:t xml:space="preserve"> by other contributions to the curricul</w:t>
      </w:r>
      <w:r w:rsidR="000950AB">
        <w:rPr>
          <w:rFonts w:ascii="Times New Roman" w:hAnsi="Times New Roman" w:cs="Times New Roman"/>
          <w:sz w:val="24"/>
          <w:szCs w:val="24"/>
        </w:rPr>
        <w:t>um, subject to approval by the H</w:t>
      </w:r>
      <w:r w:rsidR="00BF36A3">
        <w:rPr>
          <w:rFonts w:ascii="Times New Roman" w:hAnsi="Times New Roman" w:cs="Times New Roman"/>
          <w:sz w:val="24"/>
          <w:szCs w:val="24"/>
        </w:rPr>
        <w:t>ead.  There are no service expectations of instructors</w:t>
      </w:r>
      <w:r w:rsidR="00AB4275">
        <w:rPr>
          <w:rFonts w:ascii="Times New Roman" w:hAnsi="Times New Roman" w:cs="Times New Roman"/>
          <w:sz w:val="24"/>
          <w:szCs w:val="24"/>
        </w:rPr>
        <w:t xml:space="preserve"> and lecturers</w:t>
      </w:r>
      <w:r w:rsidR="00BF36A3">
        <w:rPr>
          <w:rFonts w:ascii="Times New Roman" w:hAnsi="Times New Roman" w:cs="Times New Roman"/>
          <w:sz w:val="24"/>
          <w:szCs w:val="24"/>
        </w:rPr>
        <w:t xml:space="preserve">.  Instructors </w:t>
      </w:r>
      <w:r w:rsidR="00AB4275">
        <w:rPr>
          <w:rFonts w:ascii="Times New Roman" w:hAnsi="Times New Roman" w:cs="Times New Roman"/>
          <w:sz w:val="24"/>
          <w:szCs w:val="24"/>
        </w:rPr>
        <w:t xml:space="preserve">and lecturers </w:t>
      </w:r>
      <w:proofErr w:type="gramStart"/>
      <w:r w:rsidR="00BF36A3">
        <w:rPr>
          <w:rFonts w:ascii="Times New Roman" w:hAnsi="Times New Roman" w:cs="Times New Roman"/>
          <w:sz w:val="24"/>
          <w:szCs w:val="24"/>
        </w:rPr>
        <w:t>are not expected</w:t>
      </w:r>
      <w:proofErr w:type="gramEnd"/>
      <w:r w:rsidR="00BF36A3">
        <w:rPr>
          <w:rFonts w:ascii="Times New Roman" w:hAnsi="Times New Roman" w:cs="Times New Roman"/>
          <w:sz w:val="24"/>
          <w:szCs w:val="24"/>
        </w:rPr>
        <w:t xml:space="preserve"> to undertake significant </w:t>
      </w:r>
      <w:r w:rsidR="00BC07EF">
        <w:rPr>
          <w:rFonts w:ascii="Times New Roman" w:hAnsi="Times New Roman" w:cs="Times New Roman"/>
          <w:sz w:val="24"/>
          <w:szCs w:val="24"/>
        </w:rPr>
        <w:t>mentoring of graduate students.  High enrollment teaching and mentoring of multiple undergraduate capstone or honors projects may provide additional credit toward teaching responsibili</w:t>
      </w:r>
      <w:r w:rsidR="000950AB">
        <w:rPr>
          <w:rFonts w:ascii="Times New Roman" w:hAnsi="Times New Roman" w:cs="Times New Roman"/>
          <w:sz w:val="24"/>
          <w:szCs w:val="24"/>
        </w:rPr>
        <w:t>ty, subject to approval of the H</w:t>
      </w:r>
      <w:r w:rsidR="00BC07EF">
        <w:rPr>
          <w:rFonts w:ascii="Times New Roman" w:hAnsi="Times New Roman" w:cs="Times New Roman"/>
          <w:sz w:val="24"/>
          <w:szCs w:val="24"/>
        </w:rPr>
        <w:t>ead.</w:t>
      </w:r>
    </w:p>
    <w:p w14:paraId="2123B85F" w14:textId="77777777" w:rsidR="0088331F" w:rsidRDefault="0088331F" w:rsidP="000E02FC">
      <w:pPr>
        <w:spacing w:after="0" w:line="240" w:lineRule="auto"/>
        <w:rPr>
          <w:rFonts w:ascii="Times New Roman" w:hAnsi="Times New Roman" w:cs="Times New Roman"/>
          <w:sz w:val="24"/>
          <w:szCs w:val="24"/>
        </w:rPr>
      </w:pPr>
    </w:p>
    <w:p w14:paraId="7264C716" w14:textId="767F941B" w:rsidR="0088331F" w:rsidRDefault="0088331F"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all instances, the majority of </w:t>
      </w:r>
      <w:proofErr w:type="gramStart"/>
      <w:r>
        <w:rPr>
          <w:rFonts w:ascii="Times New Roman" w:hAnsi="Times New Roman" w:cs="Times New Roman"/>
          <w:sz w:val="24"/>
          <w:szCs w:val="24"/>
        </w:rPr>
        <w:t>instructors’</w:t>
      </w:r>
      <w:proofErr w:type="gramEnd"/>
      <w:r>
        <w:rPr>
          <w:rFonts w:ascii="Times New Roman" w:hAnsi="Times New Roman" w:cs="Times New Roman"/>
          <w:sz w:val="24"/>
          <w:szCs w:val="24"/>
        </w:rPr>
        <w:t xml:space="preserve"> and lecturers’ appointment</w:t>
      </w:r>
      <w:r w:rsidR="001B375B">
        <w:rPr>
          <w:rFonts w:ascii="Times New Roman" w:hAnsi="Times New Roman" w:cs="Times New Roman"/>
          <w:sz w:val="24"/>
          <w:szCs w:val="24"/>
        </w:rPr>
        <w:t>s</w:t>
      </w:r>
      <w:r>
        <w:rPr>
          <w:rFonts w:ascii="Times New Roman" w:hAnsi="Times New Roman" w:cs="Times New Roman"/>
          <w:sz w:val="24"/>
          <w:szCs w:val="24"/>
        </w:rPr>
        <w:t xml:space="preserve"> must be composed of teaching duties rather than other activities. </w:t>
      </w:r>
    </w:p>
    <w:p w14:paraId="1F368823" w14:textId="77777777" w:rsidR="0088331F" w:rsidRDefault="0088331F" w:rsidP="000E02FC">
      <w:pPr>
        <w:spacing w:after="0" w:line="240" w:lineRule="auto"/>
        <w:rPr>
          <w:rFonts w:ascii="Times New Roman" w:hAnsi="Times New Roman" w:cs="Times New Roman"/>
          <w:sz w:val="24"/>
          <w:szCs w:val="24"/>
        </w:rPr>
      </w:pPr>
    </w:p>
    <w:p w14:paraId="0A1164FC" w14:textId="77777777" w:rsidR="00211C0E" w:rsidRDefault="00211C0E" w:rsidP="005E656E">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Senior Instructors and Senior Lecturers</w:t>
      </w:r>
    </w:p>
    <w:p w14:paraId="585BC8D9" w14:textId="31BB420A" w:rsidR="0088331F" w:rsidRDefault="00211C0E"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Provost Communication 25, the designation of </w:t>
      </w:r>
      <w:r w:rsidR="00BC07EF">
        <w:rPr>
          <w:rFonts w:ascii="Times New Roman" w:hAnsi="Times New Roman" w:cs="Times New Roman"/>
          <w:sz w:val="24"/>
          <w:szCs w:val="24"/>
        </w:rPr>
        <w:t>“</w:t>
      </w:r>
      <w:r>
        <w:rPr>
          <w:rFonts w:ascii="Times New Roman" w:hAnsi="Times New Roman" w:cs="Times New Roman"/>
          <w:sz w:val="24"/>
          <w:szCs w:val="24"/>
        </w:rPr>
        <w:t>senior</w:t>
      </w:r>
      <w:r w:rsidR="00BC07EF">
        <w:rPr>
          <w:rFonts w:ascii="Times New Roman" w:hAnsi="Times New Roman" w:cs="Times New Roman"/>
          <w:sz w:val="24"/>
          <w:szCs w:val="24"/>
        </w:rPr>
        <w:t>”</w:t>
      </w:r>
      <w:r>
        <w:rPr>
          <w:rFonts w:ascii="Times New Roman" w:hAnsi="Times New Roman" w:cs="Times New Roman"/>
          <w:sz w:val="24"/>
          <w:szCs w:val="24"/>
        </w:rPr>
        <w:t xml:space="preserve"> is appropriate when instructors or lecturers “</w:t>
      </w:r>
      <w:r w:rsidRPr="00211C0E">
        <w:rPr>
          <w:rFonts w:ascii="Times New Roman" w:hAnsi="Times New Roman" w:cs="Times New Roman"/>
          <w:sz w:val="24"/>
          <w:szCs w:val="24"/>
        </w:rPr>
        <w:t>have made</w:t>
      </w:r>
      <w:r>
        <w:rPr>
          <w:rFonts w:ascii="Times New Roman" w:hAnsi="Times New Roman" w:cs="Times New Roman"/>
          <w:sz w:val="24"/>
          <w:szCs w:val="24"/>
        </w:rPr>
        <w:t xml:space="preserve"> </w:t>
      </w:r>
      <w:r w:rsidRPr="00211C0E">
        <w:rPr>
          <w:rFonts w:ascii="Times New Roman" w:hAnsi="Times New Roman" w:cs="Times New Roman"/>
          <w:sz w:val="24"/>
          <w:szCs w:val="24"/>
        </w:rPr>
        <w:t>significant contributions to the</w:t>
      </w:r>
      <w:r>
        <w:rPr>
          <w:rFonts w:ascii="Times New Roman" w:hAnsi="Times New Roman" w:cs="Times New Roman"/>
          <w:sz w:val="24"/>
          <w:szCs w:val="24"/>
        </w:rPr>
        <w:t xml:space="preserve"> </w:t>
      </w:r>
      <w:r w:rsidRPr="00211C0E">
        <w:rPr>
          <w:rFonts w:ascii="Times New Roman" w:hAnsi="Times New Roman" w:cs="Times New Roman"/>
          <w:sz w:val="24"/>
          <w:szCs w:val="24"/>
        </w:rPr>
        <w:t>department’s</w:t>
      </w:r>
      <w:r>
        <w:rPr>
          <w:rFonts w:ascii="Times New Roman" w:hAnsi="Times New Roman" w:cs="Times New Roman"/>
          <w:sz w:val="24"/>
          <w:szCs w:val="24"/>
        </w:rPr>
        <w:t xml:space="preserve"> </w:t>
      </w:r>
      <w:r w:rsidRPr="00211C0E">
        <w:rPr>
          <w:rFonts w:ascii="Times New Roman" w:hAnsi="Times New Roman" w:cs="Times New Roman"/>
          <w:sz w:val="24"/>
          <w:szCs w:val="24"/>
        </w:rPr>
        <w:t>teaching</w:t>
      </w:r>
      <w:r>
        <w:rPr>
          <w:rFonts w:ascii="Times New Roman" w:hAnsi="Times New Roman" w:cs="Times New Roman"/>
          <w:sz w:val="24"/>
          <w:szCs w:val="24"/>
        </w:rPr>
        <w:t xml:space="preserve"> </w:t>
      </w:r>
      <w:r w:rsidRPr="00211C0E">
        <w:rPr>
          <w:rFonts w:ascii="Times New Roman" w:hAnsi="Times New Roman" w:cs="Times New Roman"/>
          <w:sz w:val="24"/>
          <w:szCs w:val="24"/>
        </w:rPr>
        <w:t>mission, including contributions to the</w:t>
      </w:r>
      <w:r>
        <w:rPr>
          <w:rFonts w:ascii="Times New Roman" w:hAnsi="Times New Roman" w:cs="Times New Roman"/>
          <w:sz w:val="24"/>
          <w:szCs w:val="24"/>
        </w:rPr>
        <w:t xml:space="preserve"> </w:t>
      </w:r>
      <w:r w:rsidRPr="00211C0E">
        <w:rPr>
          <w:rFonts w:ascii="Times New Roman" w:hAnsi="Times New Roman" w:cs="Times New Roman"/>
          <w:sz w:val="24"/>
          <w:szCs w:val="24"/>
        </w:rPr>
        <w:t>curriculum</w:t>
      </w:r>
      <w:r>
        <w:rPr>
          <w:rFonts w:ascii="Times New Roman" w:hAnsi="Times New Roman" w:cs="Times New Roman"/>
          <w:sz w:val="24"/>
          <w:szCs w:val="24"/>
        </w:rPr>
        <w:t xml:space="preserve">.” </w:t>
      </w:r>
    </w:p>
    <w:p w14:paraId="54351A9A" w14:textId="77777777" w:rsidR="00211C0E" w:rsidRDefault="00211C0E" w:rsidP="000E02FC">
      <w:pPr>
        <w:spacing w:after="0" w:line="240" w:lineRule="auto"/>
        <w:rPr>
          <w:rFonts w:ascii="Times New Roman" w:hAnsi="Times New Roman" w:cs="Times New Roman"/>
          <w:sz w:val="24"/>
          <w:szCs w:val="24"/>
        </w:rPr>
      </w:pPr>
    </w:p>
    <w:p w14:paraId="144A63C2" w14:textId="6ECE14A8" w:rsidR="00211C0E" w:rsidRDefault="009003C0"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w:t>
      </w:r>
      <w:hyperlink r:id="rId11" w:history="1">
        <w:r w:rsidRPr="001B375B">
          <w:rPr>
            <w:rStyle w:val="Hyperlink"/>
            <w:rFonts w:ascii="Times New Roman" w:hAnsi="Times New Roman" w:cs="Times New Roman"/>
            <w:sz w:val="24"/>
            <w:szCs w:val="24"/>
          </w:rPr>
          <w:t>LAS guidelines</w:t>
        </w:r>
      </w:hyperlink>
      <w:r>
        <w:rPr>
          <w:rFonts w:ascii="Times New Roman" w:hAnsi="Times New Roman" w:cs="Times New Roman"/>
          <w:sz w:val="24"/>
          <w:szCs w:val="24"/>
        </w:rPr>
        <w:t>, “t</w:t>
      </w:r>
      <w:r w:rsidRPr="009003C0">
        <w:rPr>
          <w:rFonts w:ascii="Times New Roman" w:hAnsi="Times New Roman" w:cs="Times New Roman"/>
          <w:sz w:val="24"/>
          <w:szCs w:val="24"/>
        </w:rPr>
        <w:t>o be eligible for a promotion, the College normally requires a minimum of 3 years in the current position as an Instructor/Lecturer.  Exceptions can be made with appropriate justification.</w:t>
      </w:r>
      <w:r>
        <w:rPr>
          <w:rFonts w:ascii="Times New Roman" w:hAnsi="Times New Roman" w:cs="Times New Roman"/>
          <w:sz w:val="24"/>
          <w:szCs w:val="24"/>
        </w:rPr>
        <w:t>”</w:t>
      </w:r>
      <w:r w:rsidRPr="009003C0">
        <w:rPr>
          <w:rFonts w:ascii="Times New Roman" w:hAnsi="Times New Roman" w:cs="Times New Roman"/>
          <w:sz w:val="24"/>
          <w:szCs w:val="24"/>
        </w:rPr>
        <w:t xml:space="preserve"> </w:t>
      </w:r>
      <w:r w:rsidRPr="0025240F">
        <w:rPr>
          <w:rFonts w:ascii="Times New Roman" w:hAnsi="Times New Roman" w:cs="Times New Roman"/>
          <w:sz w:val="24"/>
          <w:szCs w:val="24"/>
        </w:rPr>
        <w:t xml:space="preserve"> </w:t>
      </w:r>
      <w:r w:rsidR="0025240F">
        <w:rPr>
          <w:rFonts w:ascii="Times New Roman" w:hAnsi="Times New Roman" w:cs="Times New Roman"/>
          <w:sz w:val="24"/>
          <w:szCs w:val="24"/>
        </w:rPr>
        <w:t>T</w:t>
      </w:r>
      <w:r w:rsidR="00211C0E" w:rsidRPr="0025240F">
        <w:rPr>
          <w:rFonts w:ascii="Times New Roman" w:hAnsi="Times New Roman" w:cs="Times New Roman"/>
          <w:sz w:val="24"/>
          <w:szCs w:val="24"/>
        </w:rPr>
        <w:t xml:space="preserve">he reviewing body shall be the </w:t>
      </w:r>
      <w:r w:rsidR="00C32ABD">
        <w:rPr>
          <w:rFonts w:ascii="Times New Roman" w:hAnsi="Times New Roman" w:cs="Times New Roman"/>
          <w:sz w:val="24"/>
          <w:szCs w:val="24"/>
        </w:rPr>
        <w:t>Advisory</w:t>
      </w:r>
      <w:r w:rsidR="00C32ABD" w:rsidRPr="0025240F">
        <w:rPr>
          <w:rFonts w:ascii="Times New Roman" w:hAnsi="Times New Roman" w:cs="Times New Roman"/>
          <w:sz w:val="24"/>
          <w:szCs w:val="24"/>
        </w:rPr>
        <w:t xml:space="preserve"> </w:t>
      </w:r>
      <w:r w:rsidR="00211C0E" w:rsidRPr="0025240F">
        <w:rPr>
          <w:rFonts w:ascii="Times New Roman" w:hAnsi="Times New Roman" w:cs="Times New Roman"/>
          <w:sz w:val="24"/>
          <w:szCs w:val="24"/>
        </w:rPr>
        <w:t xml:space="preserve">Committee. </w:t>
      </w:r>
    </w:p>
    <w:p w14:paraId="04E1CCD7" w14:textId="77777777" w:rsidR="00211C0E" w:rsidRDefault="00211C0E" w:rsidP="000E02FC">
      <w:pPr>
        <w:spacing w:after="0" w:line="240" w:lineRule="auto"/>
        <w:rPr>
          <w:rFonts w:ascii="Times New Roman" w:hAnsi="Times New Roman" w:cs="Times New Roman"/>
          <w:sz w:val="24"/>
          <w:szCs w:val="24"/>
        </w:rPr>
      </w:pPr>
    </w:p>
    <w:p w14:paraId="657C12E5" w14:textId="77777777" w:rsidR="00211C0E" w:rsidRDefault="008E7581"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minimum time in rank, </w:t>
      </w:r>
      <w:r w:rsidR="00211C0E">
        <w:rPr>
          <w:rFonts w:ascii="Times New Roman" w:hAnsi="Times New Roman" w:cs="Times New Roman"/>
          <w:sz w:val="24"/>
          <w:szCs w:val="24"/>
        </w:rPr>
        <w:t>promotion to senior</w:t>
      </w:r>
      <w:r>
        <w:rPr>
          <w:rFonts w:ascii="Times New Roman" w:hAnsi="Times New Roman" w:cs="Times New Roman"/>
          <w:sz w:val="24"/>
          <w:szCs w:val="24"/>
        </w:rPr>
        <w:t xml:space="preserve"> instructor or senior lecturer requires:</w:t>
      </w:r>
    </w:p>
    <w:p w14:paraId="63EDBD45" w14:textId="77777777" w:rsidR="008E7581" w:rsidRDefault="008E7581" w:rsidP="000E02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outstanding teaching record.</w:t>
      </w:r>
    </w:p>
    <w:p w14:paraId="3282F75A" w14:textId="77777777" w:rsidR="008E7581" w:rsidRPr="008E7581" w:rsidRDefault="008E7581" w:rsidP="000E02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Evidence of having made substantial additions, improvements, or other contributions to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department’s curriculum. </w:t>
      </w:r>
    </w:p>
    <w:p w14:paraId="65581820" w14:textId="77777777" w:rsidR="00211C0E" w:rsidRDefault="00211C0E" w:rsidP="000E02FC">
      <w:pPr>
        <w:spacing w:after="0" w:line="240" w:lineRule="auto"/>
        <w:rPr>
          <w:rFonts w:ascii="Times New Roman" w:hAnsi="Times New Roman" w:cs="Times New Roman"/>
          <w:sz w:val="24"/>
          <w:szCs w:val="24"/>
        </w:rPr>
      </w:pPr>
    </w:p>
    <w:p w14:paraId="7FA27B0F" w14:textId="77777777" w:rsidR="008E7581" w:rsidRDefault="008E7581"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for promotion to senior instructor or senior lecturer, candidates must</w:t>
      </w:r>
      <w:r w:rsidR="004005C8">
        <w:rPr>
          <w:rFonts w:ascii="Times New Roman" w:hAnsi="Times New Roman" w:cs="Times New Roman"/>
          <w:sz w:val="24"/>
          <w:szCs w:val="24"/>
        </w:rPr>
        <w:t xml:space="preserve"> provide</w:t>
      </w:r>
      <w:r>
        <w:rPr>
          <w:rFonts w:ascii="Times New Roman" w:hAnsi="Times New Roman" w:cs="Times New Roman"/>
          <w:sz w:val="24"/>
          <w:szCs w:val="24"/>
        </w:rPr>
        <w:t>:</w:t>
      </w:r>
    </w:p>
    <w:p w14:paraId="1757DCD2" w14:textId="77777777" w:rsidR="008E7581" w:rsidRDefault="004005C8" w:rsidP="000E02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E7581">
        <w:rPr>
          <w:rFonts w:ascii="Times New Roman" w:hAnsi="Times New Roman" w:cs="Times New Roman"/>
          <w:sz w:val="24"/>
          <w:szCs w:val="24"/>
        </w:rPr>
        <w:t xml:space="preserve"> complete longitudinal record of ICES scores.</w:t>
      </w:r>
    </w:p>
    <w:p w14:paraId="20BF2D32" w14:textId="77777777" w:rsidR="00E21CE7" w:rsidRDefault="004005C8" w:rsidP="000E02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21CE7">
        <w:rPr>
          <w:rFonts w:ascii="Times New Roman" w:hAnsi="Times New Roman" w:cs="Times New Roman"/>
          <w:sz w:val="24"/>
          <w:szCs w:val="24"/>
        </w:rPr>
        <w:t>heir curriculum vitae.</w:t>
      </w:r>
    </w:p>
    <w:p w14:paraId="6135A6E3" w14:textId="10615594" w:rsidR="008E7581" w:rsidRDefault="004005C8" w:rsidP="000E02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8E7581">
        <w:rPr>
          <w:rFonts w:ascii="Times New Roman" w:hAnsi="Times New Roman" w:cs="Times New Roman"/>
          <w:sz w:val="24"/>
          <w:szCs w:val="24"/>
        </w:rPr>
        <w:t xml:space="preserve"> teaching statement that summarizes their teaching philosophy and teaching accomplishments, including contributions to the curriculum beyond one’s own classroom (no more than 3 pages</w:t>
      </w:r>
      <w:r w:rsidR="00783132">
        <w:rPr>
          <w:rFonts w:ascii="Times New Roman" w:hAnsi="Times New Roman" w:cs="Times New Roman"/>
          <w:sz w:val="24"/>
          <w:szCs w:val="24"/>
        </w:rPr>
        <w:t>,</w:t>
      </w:r>
      <w:r w:rsidR="008E7581">
        <w:rPr>
          <w:rFonts w:ascii="Times New Roman" w:hAnsi="Times New Roman" w:cs="Times New Roman"/>
          <w:sz w:val="24"/>
          <w:szCs w:val="24"/>
        </w:rPr>
        <w:t xml:space="preserve"> single</w:t>
      </w:r>
      <w:r w:rsidR="00783132">
        <w:rPr>
          <w:rFonts w:ascii="Times New Roman" w:hAnsi="Times New Roman" w:cs="Times New Roman"/>
          <w:sz w:val="24"/>
          <w:szCs w:val="24"/>
        </w:rPr>
        <w:t>-</w:t>
      </w:r>
      <w:r w:rsidR="008E7581">
        <w:rPr>
          <w:rFonts w:ascii="Times New Roman" w:hAnsi="Times New Roman" w:cs="Times New Roman"/>
          <w:sz w:val="24"/>
          <w:szCs w:val="24"/>
        </w:rPr>
        <w:t>spaced).</w:t>
      </w:r>
    </w:p>
    <w:p w14:paraId="6250367E" w14:textId="7799BF90" w:rsidR="008E7581" w:rsidRDefault="004005C8" w:rsidP="000E02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15DAD">
        <w:rPr>
          <w:rFonts w:ascii="Times New Roman" w:hAnsi="Times New Roman" w:cs="Times New Roman"/>
          <w:sz w:val="24"/>
          <w:szCs w:val="24"/>
        </w:rPr>
        <w:t>ample syllabi</w:t>
      </w:r>
      <w:r w:rsidR="008E7581">
        <w:rPr>
          <w:rFonts w:ascii="Times New Roman" w:hAnsi="Times New Roman" w:cs="Times New Roman"/>
          <w:sz w:val="24"/>
          <w:szCs w:val="24"/>
        </w:rPr>
        <w:t>, assignments, and other teaching materials that provide evidence of the quality of their instruction.</w:t>
      </w:r>
    </w:p>
    <w:p w14:paraId="3A476C6C" w14:textId="77777777" w:rsidR="008E7581" w:rsidRDefault="004005C8" w:rsidP="000E02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Opportunities for </w:t>
      </w:r>
      <w:r w:rsidR="008E7581">
        <w:rPr>
          <w:rFonts w:ascii="Times New Roman" w:hAnsi="Times New Roman" w:cs="Times New Roman"/>
          <w:sz w:val="24"/>
          <w:szCs w:val="24"/>
        </w:rPr>
        <w:t>at least two senior faculty members to directly observe and evaluate their teaching.</w:t>
      </w:r>
    </w:p>
    <w:p w14:paraId="61172D3F" w14:textId="77777777" w:rsidR="004005C8" w:rsidRPr="004005C8" w:rsidRDefault="004005C8" w:rsidP="004005C8">
      <w:pPr>
        <w:spacing w:after="0" w:line="240" w:lineRule="auto"/>
        <w:rPr>
          <w:rFonts w:ascii="Times New Roman" w:hAnsi="Times New Roman" w:cs="Times New Roman"/>
          <w:sz w:val="24"/>
          <w:szCs w:val="24"/>
        </w:rPr>
      </w:pPr>
    </w:p>
    <w:p w14:paraId="512FA4B3" w14:textId="77777777" w:rsidR="008E7581" w:rsidRPr="004005C8" w:rsidRDefault="004005C8" w:rsidP="004005C8">
      <w:pPr>
        <w:spacing w:after="0" w:line="240" w:lineRule="auto"/>
        <w:rPr>
          <w:rFonts w:ascii="Times New Roman" w:hAnsi="Times New Roman" w:cs="Times New Roman"/>
          <w:sz w:val="24"/>
          <w:szCs w:val="24"/>
        </w:rPr>
      </w:pPr>
      <w:r>
        <w:rPr>
          <w:rFonts w:ascii="Times New Roman" w:hAnsi="Times New Roman" w:cs="Times New Roman"/>
          <w:sz w:val="24"/>
          <w:szCs w:val="24"/>
        </w:rPr>
        <w:t>Individuals seeking promotion to senior instructor or senior lecturer should also ask</w:t>
      </w:r>
      <w:r w:rsidR="008E7581" w:rsidRPr="004005C8">
        <w:rPr>
          <w:rFonts w:ascii="Times New Roman" w:hAnsi="Times New Roman" w:cs="Times New Roman"/>
          <w:sz w:val="24"/>
          <w:szCs w:val="24"/>
        </w:rPr>
        <w:t xml:space="preserve"> their teaching supervisor to provide the committee with an evaluation that assesses the candidate’s contributions to the teaching mission of the department. </w:t>
      </w:r>
    </w:p>
    <w:p w14:paraId="2BCE4690" w14:textId="77777777" w:rsidR="008E7581" w:rsidRDefault="008E7581" w:rsidP="000E02FC">
      <w:pPr>
        <w:spacing w:after="0" w:line="240" w:lineRule="auto"/>
        <w:rPr>
          <w:rFonts w:ascii="Times New Roman" w:hAnsi="Times New Roman" w:cs="Times New Roman"/>
          <w:sz w:val="24"/>
          <w:szCs w:val="24"/>
        </w:rPr>
      </w:pPr>
    </w:p>
    <w:p w14:paraId="2375CC7E" w14:textId="77777777" w:rsidR="004005C8" w:rsidRDefault="004005C8"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There will be a salary increase associated with this promotion</w:t>
      </w:r>
      <w:r w:rsidR="00791AD5">
        <w:rPr>
          <w:rFonts w:ascii="Times New Roman" w:hAnsi="Times New Roman" w:cs="Times New Roman"/>
          <w:sz w:val="24"/>
          <w:szCs w:val="24"/>
        </w:rPr>
        <w:t xml:space="preserve">; </w:t>
      </w:r>
      <w:r>
        <w:rPr>
          <w:rFonts w:ascii="Times New Roman" w:hAnsi="Times New Roman" w:cs="Times New Roman"/>
          <w:sz w:val="24"/>
          <w:szCs w:val="24"/>
        </w:rPr>
        <w:t xml:space="preserve">the amount </w:t>
      </w:r>
      <w:proofErr w:type="gramStart"/>
      <w:r>
        <w:rPr>
          <w:rFonts w:ascii="Times New Roman" w:hAnsi="Times New Roman" w:cs="Times New Roman"/>
          <w:sz w:val="24"/>
          <w:szCs w:val="24"/>
        </w:rPr>
        <w:t>will be based</w:t>
      </w:r>
      <w:proofErr w:type="gramEnd"/>
      <w:r>
        <w:rPr>
          <w:rFonts w:ascii="Times New Roman" w:hAnsi="Times New Roman" w:cs="Times New Roman"/>
          <w:sz w:val="24"/>
          <w:szCs w:val="24"/>
        </w:rPr>
        <w:t xml:space="preserve"> on the norms established in LAS.</w:t>
      </w:r>
    </w:p>
    <w:p w14:paraId="7932D0DE" w14:textId="77777777" w:rsidR="004005C8" w:rsidRDefault="004005C8" w:rsidP="000E02FC">
      <w:pPr>
        <w:spacing w:after="0" w:line="240" w:lineRule="auto"/>
        <w:rPr>
          <w:rFonts w:ascii="Times New Roman" w:hAnsi="Times New Roman" w:cs="Times New Roman"/>
          <w:sz w:val="24"/>
          <w:szCs w:val="24"/>
        </w:rPr>
      </w:pPr>
    </w:p>
    <w:p w14:paraId="2D83BF59" w14:textId="6A3B22EA" w:rsidR="00015BE1" w:rsidRDefault="00015BE1"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long as it is feasible, Instructors and Lecturers who </w:t>
      </w:r>
      <w:proofErr w:type="gramStart"/>
      <w:r>
        <w:rPr>
          <w:rFonts w:ascii="Times New Roman" w:hAnsi="Times New Roman" w:cs="Times New Roman"/>
          <w:sz w:val="24"/>
          <w:szCs w:val="24"/>
        </w:rPr>
        <w:t>are successfully promoted</w:t>
      </w:r>
      <w:proofErr w:type="gramEnd"/>
      <w:r>
        <w:rPr>
          <w:rFonts w:ascii="Times New Roman" w:hAnsi="Times New Roman" w:cs="Times New Roman"/>
          <w:sz w:val="24"/>
          <w:szCs w:val="24"/>
        </w:rPr>
        <w:t xml:space="preserve"> to </w:t>
      </w:r>
      <w:r w:rsidR="00791AD5">
        <w:rPr>
          <w:rFonts w:ascii="Times New Roman" w:hAnsi="Times New Roman" w:cs="Times New Roman"/>
          <w:sz w:val="24"/>
          <w:szCs w:val="24"/>
        </w:rPr>
        <w:t>S</w:t>
      </w:r>
      <w:r>
        <w:rPr>
          <w:rFonts w:ascii="Times New Roman" w:hAnsi="Times New Roman" w:cs="Times New Roman"/>
          <w:sz w:val="24"/>
          <w:szCs w:val="24"/>
        </w:rPr>
        <w:t>enior</w:t>
      </w:r>
      <w:r w:rsidR="00791AD5">
        <w:rPr>
          <w:rFonts w:ascii="Times New Roman" w:hAnsi="Times New Roman" w:cs="Times New Roman"/>
          <w:sz w:val="24"/>
          <w:szCs w:val="24"/>
        </w:rPr>
        <w:t xml:space="preserve"> Instructor or Senior Lecturer</w:t>
      </w:r>
      <w:r>
        <w:rPr>
          <w:rFonts w:ascii="Times New Roman" w:hAnsi="Times New Roman" w:cs="Times New Roman"/>
          <w:sz w:val="24"/>
          <w:szCs w:val="24"/>
        </w:rPr>
        <w:t xml:space="preserve"> will be </w:t>
      </w:r>
      <w:r w:rsidR="00791AD5">
        <w:rPr>
          <w:rFonts w:ascii="Times New Roman" w:hAnsi="Times New Roman" w:cs="Times New Roman"/>
          <w:sz w:val="24"/>
          <w:szCs w:val="24"/>
        </w:rPr>
        <w:t>considered</w:t>
      </w:r>
      <w:r w:rsidR="004005C8">
        <w:rPr>
          <w:rFonts w:ascii="Times New Roman" w:hAnsi="Times New Roman" w:cs="Times New Roman"/>
          <w:sz w:val="24"/>
          <w:szCs w:val="24"/>
        </w:rPr>
        <w:t xml:space="preserve"> for </w:t>
      </w:r>
      <w:r w:rsidR="00F667EC">
        <w:rPr>
          <w:rFonts w:ascii="Times New Roman" w:hAnsi="Times New Roman" w:cs="Times New Roman"/>
          <w:sz w:val="24"/>
          <w:szCs w:val="24"/>
        </w:rPr>
        <w:t>multi-</w:t>
      </w:r>
      <w:r>
        <w:rPr>
          <w:rFonts w:ascii="Times New Roman" w:hAnsi="Times New Roman" w:cs="Times New Roman"/>
          <w:sz w:val="24"/>
          <w:szCs w:val="24"/>
        </w:rPr>
        <w:t xml:space="preserve">year contracts. </w:t>
      </w:r>
      <w:r w:rsidR="00F667EC">
        <w:rPr>
          <w:rFonts w:ascii="Times New Roman" w:hAnsi="Times New Roman" w:cs="Times New Roman"/>
          <w:sz w:val="24"/>
          <w:szCs w:val="24"/>
        </w:rPr>
        <w:t>Multi-</w:t>
      </w:r>
      <w:r w:rsidR="004005C8">
        <w:rPr>
          <w:rFonts w:ascii="Times New Roman" w:hAnsi="Times New Roman" w:cs="Times New Roman"/>
          <w:sz w:val="24"/>
          <w:szCs w:val="24"/>
        </w:rPr>
        <w:t xml:space="preserve">year contracts </w:t>
      </w:r>
      <w:proofErr w:type="gramStart"/>
      <w:r w:rsidR="004005C8">
        <w:rPr>
          <w:rFonts w:ascii="Times New Roman" w:hAnsi="Times New Roman" w:cs="Times New Roman"/>
          <w:sz w:val="24"/>
          <w:szCs w:val="24"/>
        </w:rPr>
        <w:t>will only be offered</w:t>
      </w:r>
      <w:proofErr w:type="gramEnd"/>
      <w:r w:rsidR="004005C8">
        <w:rPr>
          <w:rFonts w:ascii="Times New Roman" w:hAnsi="Times New Roman" w:cs="Times New Roman"/>
          <w:sz w:val="24"/>
          <w:szCs w:val="24"/>
        </w:rPr>
        <w:t xml:space="preserve"> to </w:t>
      </w:r>
      <w:r w:rsidR="00694212">
        <w:rPr>
          <w:rFonts w:ascii="Times New Roman" w:hAnsi="Times New Roman" w:cs="Times New Roman"/>
          <w:sz w:val="24"/>
          <w:szCs w:val="24"/>
        </w:rPr>
        <w:t xml:space="preserve">individuals who maintain their teaching excellence, as evaluated in the customary annual reviews. </w:t>
      </w:r>
    </w:p>
    <w:p w14:paraId="325085FC" w14:textId="77777777" w:rsidR="00015BE1" w:rsidRDefault="00015BE1" w:rsidP="000E02FC">
      <w:pPr>
        <w:spacing w:after="0" w:line="240" w:lineRule="auto"/>
        <w:rPr>
          <w:rFonts w:ascii="Times New Roman" w:hAnsi="Times New Roman" w:cs="Times New Roman"/>
          <w:sz w:val="24"/>
          <w:szCs w:val="24"/>
        </w:rPr>
      </w:pPr>
    </w:p>
    <w:p w14:paraId="5630E76B" w14:textId="09A063B3" w:rsidR="00015BE1" w:rsidRDefault="00015BE1"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an unsuccessful request for promotion, the candidate must wait at least three years before </w:t>
      </w:r>
      <w:r w:rsidR="00791AD5">
        <w:rPr>
          <w:rFonts w:ascii="Times New Roman" w:hAnsi="Times New Roman" w:cs="Times New Roman"/>
          <w:sz w:val="24"/>
          <w:szCs w:val="24"/>
        </w:rPr>
        <w:t>requesting evaluation for promotion</w:t>
      </w:r>
      <w:r>
        <w:rPr>
          <w:rFonts w:ascii="Times New Roman" w:hAnsi="Times New Roman" w:cs="Times New Roman"/>
          <w:sz w:val="24"/>
          <w:szCs w:val="24"/>
        </w:rPr>
        <w:t xml:space="preserve"> again. This provision </w:t>
      </w:r>
      <w:proofErr w:type="gramStart"/>
      <w:r>
        <w:rPr>
          <w:rFonts w:ascii="Times New Roman" w:hAnsi="Times New Roman" w:cs="Times New Roman"/>
          <w:sz w:val="24"/>
          <w:szCs w:val="24"/>
        </w:rPr>
        <w:t>is intended</w:t>
      </w:r>
      <w:proofErr w:type="gramEnd"/>
      <w:r>
        <w:rPr>
          <w:rFonts w:ascii="Times New Roman" w:hAnsi="Times New Roman" w:cs="Times New Roman"/>
          <w:sz w:val="24"/>
          <w:szCs w:val="24"/>
        </w:rPr>
        <w:t xml:space="preserve"> to encourage candidates to ensure that their case for promotion is a strong one before </w:t>
      </w:r>
      <w:r w:rsidR="001B375B">
        <w:rPr>
          <w:rFonts w:ascii="Times New Roman" w:hAnsi="Times New Roman" w:cs="Times New Roman"/>
          <w:sz w:val="24"/>
          <w:szCs w:val="24"/>
        </w:rPr>
        <w:t>asking</w:t>
      </w:r>
      <w:r>
        <w:rPr>
          <w:rFonts w:ascii="Times New Roman" w:hAnsi="Times New Roman" w:cs="Times New Roman"/>
          <w:sz w:val="24"/>
          <w:szCs w:val="24"/>
        </w:rPr>
        <w:t xml:space="preserve"> </w:t>
      </w:r>
      <w:r w:rsidR="004005C8">
        <w:rPr>
          <w:rFonts w:ascii="Times New Roman" w:hAnsi="Times New Roman" w:cs="Times New Roman"/>
          <w:sz w:val="24"/>
          <w:szCs w:val="24"/>
        </w:rPr>
        <w:t>to be promoted. I</w:t>
      </w:r>
      <w:r>
        <w:rPr>
          <w:rFonts w:ascii="Times New Roman" w:hAnsi="Times New Roman" w:cs="Times New Roman"/>
          <w:sz w:val="24"/>
          <w:szCs w:val="24"/>
        </w:rPr>
        <w:t>f they are unsure about their prospects</w:t>
      </w:r>
      <w:r w:rsidR="004005C8">
        <w:rPr>
          <w:rFonts w:ascii="Times New Roman" w:hAnsi="Times New Roman" w:cs="Times New Roman"/>
          <w:sz w:val="24"/>
          <w:szCs w:val="24"/>
        </w:rPr>
        <w:t>, individuals</w:t>
      </w:r>
      <w:r>
        <w:rPr>
          <w:rFonts w:ascii="Times New Roman" w:hAnsi="Times New Roman" w:cs="Times New Roman"/>
          <w:sz w:val="24"/>
          <w:szCs w:val="24"/>
        </w:rPr>
        <w:t xml:space="preserve"> are encouraged to discuss the</w:t>
      </w:r>
      <w:r w:rsidR="004005C8">
        <w:rPr>
          <w:rFonts w:ascii="Times New Roman" w:hAnsi="Times New Roman" w:cs="Times New Roman"/>
          <w:sz w:val="24"/>
          <w:szCs w:val="24"/>
        </w:rPr>
        <w:t>ir record and the expectations for promotion</w:t>
      </w:r>
      <w:r>
        <w:rPr>
          <w:rFonts w:ascii="Times New Roman" w:hAnsi="Times New Roman" w:cs="Times New Roman"/>
          <w:sz w:val="24"/>
          <w:szCs w:val="24"/>
        </w:rPr>
        <w:t xml:space="preserve"> with their supervisor and/or the Head. </w:t>
      </w:r>
    </w:p>
    <w:p w14:paraId="2D2AC9AA" w14:textId="77777777" w:rsidR="00F62DC0" w:rsidRDefault="00F62DC0" w:rsidP="000E02FC">
      <w:pPr>
        <w:spacing w:after="0" w:line="240" w:lineRule="auto"/>
        <w:rPr>
          <w:rFonts w:ascii="Times New Roman" w:hAnsi="Times New Roman" w:cs="Times New Roman"/>
          <w:sz w:val="24"/>
          <w:szCs w:val="24"/>
        </w:rPr>
      </w:pPr>
    </w:p>
    <w:p w14:paraId="5D8757C5" w14:textId="77777777" w:rsidR="00F62DC0" w:rsidRPr="00F62DC0" w:rsidRDefault="00F62DC0" w:rsidP="005E656E">
      <w:pPr>
        <w:spacing w:after="0" w:line="240" w:lineRule="auto"/>
        <w:jc w:val="center"/>
        <w:outlineLvl w:val="0"/>
        <w:rPr>
          <w:rFonts w:ascii="Times New Roman" w:hAnsi="Times New Roman" w:cs="Times New Roman"/>
          <w:b/>
          <w:sz w:val="24"/>
          <w:szCs w:val="24"/>
        </w:rPr>
      </w:pPr>
      <w:r w:rsidRPr="00F62DC0">
        <w:rPr>
          <w:rFonts w:ascii="Times New Roman" w:hAnsi="Times New Roman" w:cs="Times New Roman"/>
          <w:b/>
          <w:sz w:val="24"/>
          <w:szCs w:val="24"/>
        </w:rPr>
        <w:t>Teaching Professorial Appointments</w:t>
      </w:r>
    </w:p>
    <w:p w14:paraId="2C3F18AE" w14:textId="1D872A0D" w:rsidR="0012577C" w:rsidRDefault="0012577C"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Communication </w:t>
      </w:r>
      <w:r w:rsidR="00846A45">
        <w:rPr>
          <w:rFonts w:ascii="Times New Roman" w:hAnsi="Times New Roman" w:cs="Times New Roman"/>
          <w:sz w:val="24"/>
          <w:szCs w:val="24"/>
        </w:rPr>
        <w:t xml:space="preserve">25 </w:t>
      </w:r>
      <w:r>
        <w:rPr>
          <w:rFonts w:ascii="Times New Roman" w:hAnsi="Times New Roman" w:cs="Times New Roman"/>
          <w:sz w:val="24"/>
          <w:szCs w:val="24"/>
        </w:rPr>
        <w:t>notes that teaching professors must hold a PhD or equivalent and must make “</w:t>
      </w:r>
      <w:r w:rsidRPr="0012577C">
        <w:rPr>
          <w:rFonts w:ascii="Times New Roman" w:hAnsi="Times New Roman" w:cs="Times New Roman"/>
          <w:sz w:val="24"/>
          <w:szCs w:val="24"/>
        </w:rPr>
        <w:t>an</w:t>
      </w:r>
      <w:r>
        <w:rPr>
          <w:rFonts w:ascii="Times New Roman" w:hAnsi="Times New Roman" w:cs="Times New Roman"/>
          <w:sz w:val="24"/>
          <w:szCs w:val="24"/>
        </w:rPr>
        <w:t xml:space="preserve"> </w:t>
      </w:r>
      <w:r w:rsidRPr="0012577C">
        <w:rPr>
          <w:rFonts w:ascii="Times New Roman" w:hAnsi="Times New Roman" w:cs="Times New Roman"/>
          <w:sz w:val="24"/>
          <w:szCs w:val="24"/>
        </w:rPr>
        <w:t>instructional</w:t>
      </w:r>
      <w:r w:rsidR="00846A45">
        <w:rPr>
          <w:rFonts w:ascii="Times New Roman" w:hAnsi="Times New Roman" w:cs="Times New Roman"/>
          <w:sz w:val="24"/>
          <w:szCs w:val="24"/>
        </w:rPr>
        <w:t xml:space="preserve"> and curricular</w:t>
      </w:r>
      <w:r>
        <w:rPr>
          <w:rFonts w:ascii="Times New Roman" w:hAnsi="Times New Roman" w:cs="Times New Roman"/>
          <w:sz w:val="24"/>
          <w:szCs w:val="24"/>
        </w:rPr>
        <w:t xml:space="preserve"> </w:t>
      </w:r>
      <w:r w:rsidRPr="0012577C">
        <w:rPr>
          <w:rFonts w:ascii="Times New Roman" w:hAnsi="Times New Roman" w:cs="Times New Roman"/>
          <w:sz w:val="24"/>
          <w:szCs w:val="24"/>
        </w:rPr>
        <w:t>impact both</w:t>
      </w:r>
      <w:r>
        <w:rPr>
          <w:rFonts w:ascii="Times New Roman" w:hAnsi="Times New Roman" w:cs="Times New Roman"/>
          <w:sz w:val="24"/>
          <w:szCs w:val="24"/>
        </w:rPr>
        <w:t xml:space="preserve"> </w:t>
      </w:r>
      <w:r w:rsidRPr="0012577C">
        <w:rPr>
          <w:rFonts w:ascii="Times New Roman" w:hAnsi="Times New Roman" w:cs="Times New Roman"/>
          <w:sz w:val="24"/>
          <w:szCs w:val="24"/>
        </w:rPr>
        <w:t>within the department</w:t>
      </w:r>
      <w:r>
        <w:rPr>
          <w:rFonts w:ascii="Times New Roman" w:hAnsi="Times New Roman" w:cs="Times New Roman"/>
          <w:sz w:val="24"/>
          <w:szCs w:val="24"/>
        </w:rPr>
        <w:t xml:space="preserve"> </w:t>
      </w:r>
      <w:r w:rsidRPr="0012577C">
        <w:rPr>
          <w:rFonts w:ascii="Times New Roman" w:hAnsi="Times New Roman" w:cs="Times New Roman"/>
          <w:sz w:val="24"/>
          <w:szCs w:val="24"/>
        </w:rPr>
        <w:t>and</w:t>
      </w:r>
      <w:r>
        <w:rPr>
          <w:rFonts w:ascii="Times New Roman" w:hAnsi="Times New Roman" w:cs="Times New Roman"/>
          <w:sz w:val="24"/>
          <w:szCs w:val="24"/>
        </w:rPr>
        <w:t xml:space="preserve"> </w:t>
      </w:r>
      <w:r w:rsidRPr="0012577C">
        <w:rPr>
          <w:rFonts w:ascii="Times New Roman" w:hAnsi="Times New Roman" w:cs="Times New Roman"/>
          <w:sz w:val="24"/>
          <w:szCs w:val="24"/>
        </w:rPr>
        <w:t>beyond, either through</w:t>
      </w:r>
      <w:r>
        <w:rPr>
          <w:rFonts w:ascii="Times New Roman" w:hAnsi="Times New Roman" w:cs="Times New Roman"/>
          <w:sz w:val="24"/>
          <w:szCs w:val="24"/>
        </w:rPr>
        <w:t xml:space="preserve"> </w:t>
      </w:r>
      <w:r w:rsidRPr="0012577C">
        <w:rPr>
          <w:rFonts w:ascii="Times New Roman" w:hAnsi="Times New Roman" w:cs="Times New Roman"/>
          <w:sz w:val="24"/>
          <w:szCs w:val="24"/>
        </w:rPr>
        <w:t>scholarly</w:t>
      </w:r>
      <w:r>
        <w:rPr>
          <w:rFonts w:ascii="Times New Roman" w:hAnsi="Times New Roman" w:cs="Times New Roman"/>
          <w:sz w:val="24"/>
          <w:szCs w:val="24"/>
        </w:rPr>
        <w:t xml:space="preserve"> </w:t>
      </w:r>
      <w:r w:rsidRPr="0012577C">
        <w:rPr>
          <w:rFonts w:ascii="Times New Roman" w:hAnsi="Times New Roman" w:cs="Times New Roman"/>
          <w:sz w:val="24"/>
          <w:szCs w:val="24"/>
        </w:rPr>
        <w:t>publications, invited</w:t>
      </w:r>
      <w:r>
        <w:rPr>
          <w:rFonts w:ascii="Times New Roman" w:hAnsi="Times New Roman" w:cs="Times New Roman"/>
          <w:sz w:val="24"/>
          <w:szCs w:val="24"/>
        </w:rPr>
        <w:t xml:space="preserve"> </w:t>
      </w:r>
      <w:r w:rsidRPr="0012577C">
        <w:rPr>
          <w:rFonts w:ascii="Times New Roman" w:hAnsi="Times New Roman" w:cs="Times New Roman"/>
          <w:sz w:val="24"/>
          <w:szCs w:val="24"/>
        </w:rPr>
        <w:t>talks, or other related</w:t>
      </w:r>
      <w:r>
        <w:rPr>
          <w:rFonts w:ascii="Times New Roman" w:hAnsi="Times New Roman" w:cs="Times New Roman"/>
          <w:sz w:val="24"/>
          <w:szCs w:val="24"/>
        </w:rPr>
        <w:t xml:space="preserve"> </w:t>
      </w:r>
      <w:r w:rsidRPr="0012577C">
        <w:rPr>
          <w:rFonts w:ascii="Times New Roman" w:hAnsi="Times New Roman" w:cs="Times New Roman"/>
          <w:sz w:val="24"/>
          <w:szCs w:val="24"/>
        </w:rPr>
        <w:t>activities</w:t>
      </w:r>
      <w:r>
        <w:rPr>
          <w:rFonts w:ascii="Times New Roman" w:hAnsi="Times New Roman" w:cs="Times New Roman"/>
          <w:sz w:val="24"/>
          <w:szCs w:val="24"/>
        </w:rPr>
        <w:t xml:space="preserve"> </w:t>
      </w:r>
      <w:r w:rsidRPr="0012577C">
        <w:rPr>
          <w:rFonts w:ascii="Times New Roman" w:hAnsi="Times New Roman" w:cs="Times New Roman"/>
          <w:sz w:val="24"/>
          <w:szCs w:val="24"/>
        </w:rPr>
        <w:t>involving</w:t>
      </w:r>
      <w:r>
        <w:rPr>
          <w:rFonts w:ascii="Times New Roman" w:hAnsi="Times New Roman" w:cs="Times New Roman"/>
          <w:sz w:val="24"/>
          <w:szCs w:val="24"/>
        </w:rPr>
        <w:t xml:space="preserve"> </w:t>
      </w:r>
      <w:r w:rsidR="00846A45">
        <w:rPr>
          <w:rFonts w:ascii="Times New Roman" w:hAnsi="Times New Roman" w:cs="Times New Roman"/>
          <w:sz w:val="24"/>
          <w:szCs w:val="24"/>
        </w:rPr>
        <w:t xml:space="preserve">their discipline, </w:t>
      </w:r>
      <w:r w:rsidRPr="0012577C">
        <w:rPr>
          <w:rFonts w:ascii="Times New Roman" w:hAnsi="Times New Roman" w:cs="Times New Roman"/>
          <w:sz w:val="24"/>
          <w:szCs w:val="24"/>
        </w:rPr>
        <w:t>pedagogy</w:t>
      </w:r>
      <w:r w:rsidR="00846A45">
        <w:rPr>
          <w:rFonts w:ascii="Times New Roman" w:hAnsi="Times New Roman" w:cs="Times New Roman"/>
          <w:sz w:val="24"/>
          <w:szCs w:val="24"/>
        </w:rPr>
        <w:t xml:space="preserve"> and student interactions</w:t>
      </w:r>
      <w:r>
        <w:rPr>
          <w:rFonts w:ascii="Times New Roman" w:hAnsi="Times New Roman" w:cs="Times New Roman"/>
          <w:sz w:val="24"/>
          <w:szCs w:val="24"/>
        </w:rPr>
        <w:t xml:space="preserve">.” For appointment to teaching assistant professor, there must be evidence that the person has the potential to make such contributions. For promotion to associate teaching professor or full teaching professor, an individual must have demonstrated such contributions. </w:t>
      </w:r>
    </w:p>
    <w:p w14:paraId="0BA28535" w14:textId="77777777" w:rsidR="0012577C" w:rsidRDefault="0012577C" w:rsidP="000E02FC">
      <w:pPr>
        <w:spacing w:after="0" w:line="240" w:lineRule="auto"/>
        <w:rPr>
          <w:rFonts w:ascii="Times New Roman" w:hAnsi="Times New Roman" w:cs="Times New Roman"/>
          <w:sz w:val="24"/>
          <w:szCs w:val="24"/>
        </w:rPr>
      </w:pPr>
    </w:p>
    <w:p w14:paraId="33B811F0" w14:textId="32E5E14B" w:rsidR="00D50168" w:rsidRDefault="0012577C"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1D558B">
        <w:rPr>
          <w:rFonts w:ascii="Times New Roman" w:hAnsi="Times New Roman" w:cs="Times New Roman"/>
          <w:sz w:val="24"/>
          <w:szCs w:val="24"/>
        </w:rPr>
        <w:t xml:space="preserve"> the Department of Anthropology</w:t>
      </w:r>
      <w:r w:rsidR="00D50168">
        <w:rPr>
          <w:rFonts w:ascii="Times New Roman" w:hAnsi="Times New Roman" w:cs="Times New Roman"/>
          <w:sz w:val="24"/>
          <w:szCs w:val="24"/>
        </w:rPr>
        <w:t xml:space="preserve"> t</w:t>
      </w:r>
      <w:r w:rsidR="00D50168" w:rsidRPr="00D50168">
        <w:rPr>
          <w:rFonts w:ascii="Times New Roman" w:hAnsi="Times New Roman" w:cs="Times New Roman"/>
          <w:sz w:val="24"/>
          <w:szCs w:val="24"/>
        </w:rPr>
        <w:t xml:space="preserve">he standard teaching load for a teaching professor is </w:t>
      </w:r>
      <w:r w:rsidR="00D50168" w:rsidRPr="00D50168">
        <w:rPr>
          <w:rFonts w:ascii="Times New Roman" w:hAnsi="Times New Roman" w:cs="Times New Roman"/>
          <w:b/>
          <w:sz w:val="24"/>
          <w:szCs w:val="24"/>
        </w:rPr>
        <w:t>five courses per academic year</w:t>
      </w:r>
      <w:r w:rsidR="00D50168">
        <w:rPr>
          <w:rFonts w:ascii="Times New Roman" w:hAnsi="Times New Roman" w:cs="Times New Roman"/>
          <w:b/>
          <w:sz w:val="24"/>
          <w:szCs w:val="24"/>
        </w:rPr>
        <w:t xml:space="preserve"> </w:t>
      </w:r>
      <w:r w:rsidR="00D50168" w:rsidRPr="00D50168">
        <w:rPr>
          <w:rFonts w:ascii="Times New Roman" w:hAnsi="Times New Roman" w:cs="Times New Roman"/>
          <w:sz w:val="24"/>
          <w:szCs w:val="24"/>
        </w:rPr>
        <w:t>(</w:t>
      </w:r>
      <w:r w:rsidR="00D50168">
        <w:rPr>
          <w:rFonts w:ascii="Times New Roman" w:hAnsi="Times New Roman" w:cs="Times New Roman"/>
          <w:sz w:val="24"/>
          <w:szCs w:val="24"/>
        </w:rPr>
        <w:t xml:space="preserve">two courses in one semester and three in the other), </w:t>
      </w:r>
      <w:r w:rsidR="00D50168" w:rsidRPr="00D50168">
        <w:rPr>
          <w:rFonts w:ascii="Times New Roman" w:hAnsi="Times New Roman" w:cs="Times New Roman"/>
          <w:sz w:val="24"/>
          <w:szCs w:val="24"/>
        </w:rPr>
        <w:t>with the expectation that the teaching assignm</w:t>
      </w:r>
      <w:r w:rsidR="00D50168">
        <w:rPr>
          <w:rFonts w:ascii="Times New Roman" w:hAnsi="Times New Roman" w:cs="Times New Roman"/>
          <w:sz w:val="24"/>
          <w:szCs w:val="24"/>
        </w:rPr>
        <w:t>ents will not exceed more than four</w:t>
      </w:r>
      <w:r w:rsidR="00D50168" w:rsidRPr="00D50168">
        <w:rPr>
          <w:rFonts w:ascii="Times New Roman" w:hAnsi="Times New Roman" w:cs="Times New Roman"/>
          <w:sz w:val="24"/>
          <w:szCs w:val="24"/>
        </w:rPr>
        <w:t xml:space="preserve"> individual “preps” in a single academic year</w:t>
      </w:r>
      <w:r w:rsidR="00F81AC5">
        <w:rPr>
          <w:rFonts w:ascii="Times New Roman" w:hAnsi="Times New Roman" w:cs="Times New Roman"/>
          <w:sz w:val="24"/>
          <w:szCs w:val="24"/>
        </w:rPr>
        <w:t>.</w:t>
      </w:r>
      <w:r w:rsidR="00D50168" w:rsidRPr="00D50168">
        <w:rPr>
          <w:rFonts w:ascii="Times New Roman" w:hAnsi="Times New Roman" w:cs="Times New Roman"/>
          <w:sz w:val="24"/>
          <w:szCs w:val="24"/>
        </w:rPr>
        <w:t xml:space="preserve"> </w:t>
      </w:r>
      <w:r w:rsidR="00F81AC5">
        <w:rPr>
          <w:rFonts w:ascii="Times New Roman" w:hAnsi="Times New Roman" w:cs="Times New Roman"/>
          <w:sz w:val="24"/>
          <w:szCs w:val="24"/>
        </w:rPr>
        <w:t>O</w:t>
      </w:r>
      <w:r w:rsidR="00D50168" w:rsidRPr="00D50168">
        <w:rPr>
          <w:rFonts w:ascii="Times New Roman" w:hAnsi="Times New Roman" w:cs="Times New Roman"/>
          <w:sz w:val="24"/>
          <w:szCs w:val="24"/>
        </w:rPr>
        <w:t xml:space="preserve">ne of the courses </w:t>
      </w:r>
      <w:proofErr w:type="gramStart"/>
      <w:r w:rsidR="00D50168" w:rsidRPr="00D50168">
        <w:rPr>
          <w:rFonts w:ascii="Times New Roman" w:hAnsi="Times New Roman" w:cs="Times New Roman"/>
          <w:sz w:val="24"/>
          <w:szCs w:val="24"/>
        </w:rPr>
        <w:t>may be replaced</w:t>
      </w:r>
      <w:proofErr w:type="gramEnd"/>
      <w:r w:rsidR="00D50168" w:rsidRPr="00D50168">
        <w:rPr>
          <w:rFonts w:ascii="Times New Roman" w:hAnsi="Times New Roman" w:cs="Times New Roman"/>
          <w:sz w:val="24"/>
          <w:szCs w:val="24"/>
        </w:rPr>
        <w:t xml:space="preserve"> by other contributions to the curriculum, subject to the approval of the </w:t>
      </w:r>
      <w:r w:rsidR="00F81AC5">
        <w:rPr>
          <w:rFonts w:ascii="Times New Roman" w:hAnsi="Times New Roman" w:cs="Times New Roman"/>
          <w:sz w:val="24"/>
          <w:szCs w:val="24"/>
        </w:rPr>
        <w:t>H</w:t>
      </w:r>
      <w:r w:rsidR="00D50168" w:rsidRPr="00D50168">
        <w:rPr>
          <w:rFonts w:ascii="Times New Roman" w:hAnsi="Times New Roman" w:cs="Times New Roman"/>
          <w:sz w:val="24"/>
          <w:szCs w:val="24"/>
        </w:rPr>
        <w:t xml:space="preserve">ead. Teaching faculty may have some service contributions related to curriculum development. Teaching faculty may participate in graduate committees. High enrollment teaching and mentoring of multiple undergraduate capstone or honors projects may provide additional credit toward teaching responsibilities, subject to the approval of the </w:t>
      </w:r>
      <w:r w:rsidR="00F81AC5">
        <w:rPr>
          <w:rFonts w:ascii="Times New Roman" w:hAnsi="Times New Roman" w:cs="Times New Roman"/>
          <w:sz w:val="24"/>
          <w:szCs w:val="24"/>
        </w:rPr>
        <w:t>H</w:t>
      </w:r>
      <w:r w:rsidR="00D50168" w:rsidRPr="00D50168">
        <w:rPr>
          <w:rFonts w:ascii="Times New Roman" w:hAnsi="Times New Roman" w:cs="Times New Roman"/>
          <w:sz w:val="24"/>
          <w:szCs w:val="24"/>
        </w:rPr>
        <w:t>ead.</w:t>
      </w:r>
    </w:p>
    <w:p w14:paraId="5F2FF18C" w14:textId="77777777" w:rsidR="00B9544B" w:rsidRDefault="00B9544B" w:rsidP="000E02FC">
      <w:pPr>
        <w:spacing w:after="0" w:line="240" w:lineRule="auto"/>
        <w:rPr>
          <w:rFonts w:ascii="Times New Roman" w:hAnsi="Times New Roman" w:cs="Times New Roman"/>
          <w:sz w:val="24"/>
          <w:szCs w:val="24"/>
        </w:rPr>
      </w:pPr>
    </w:p>
    <w:p w14:paraId="4D5276AE" w14:textId="1C74A357" w:rsidR="00861552" w:rsidRDefault="0078208A"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There is no set minimum time in rank, but to be evaluated for appointment as teaching associate professor</w:t>
      </w:r>
      <w:r w:rsidR="00ED172C">
        <w:rPr>
          <w:rFonts w:ascii="Times New Roman" w:hAnsi="Times New Roman" w:cs="Times New Roman"/>
          <w:sz w:val="24"/>
          <w:szCs w:val="24"/>
        </w:rPr>
        <w:t xml:space="preserve"> (or promotion to teaching associate professor from teaching assistant professor),</w:t>
      </w:r>
      <w:r>
        <w:rPr>
          <w:rFonts w:ascii="Times New Roman" w:hAnsi="Times New Roman" w:cs="Times New Roman"/>
          <w:sz w:val="24"/>
          <w:szCs w:val="24"/>
        </w:rPr>
        <w:t xml:space="preserve"> a </w:t>
      </w:r>
      <w:r>
        <w:rPr>
          <w:rFonts w:ascii="Times New Roman" w:hAnsi="Times New Roman" w:cs="Times New Roman"/>
          <w:sz w:val="24"/>
          <w:szCs w:val="24"/>
        </w:rPr>
        <w:lastRenderedPageBreak/>
        <w:t xml:space="preserve">candidate must have at least five years of </w:t>
      </w:r>
      <w:r w:rsidR="0056702E">
        <w:rPr>
          <w:rFonts w:ascii="Times New Roman" w:hAnsi="Times New Roman" w:cs="Times New Roman"/>
          <w:sz w:val="24"/>
          <w:szCs w:val="24"/>
        </w:rPr>
        <w:t xml:space="preserve">full-time </w:t>
      </w:r>
      <w:r>
        <w:rPr>
          <w:rFonts w:ascii="Times New Roman" w:hAnsi="Times New Roman" w:cs="Times New Roman"/>
          <w:sz w:val="24"/>
          <w:szCs w:val="24"/>
        </w:rPr>
        <w:t xml:space="preserve">experience </w:t>
      </w:r>
      <w:r w:rsidR="0056702E">
        <w:rPr>
          <w:rFonts w:ascii="Times New Roman" w:hAnsi="Times New Roman" w:cs="Times New Roman"/>
          <w:sz w:val="24"/>
          <w:szCs w:val="24"/>
        </w:rPr>
        <w:t xml:space="preserve">on a university-level faculty </w:t>
      </w:r>
      <w:r w:rsidR="00861552">
        <w:rPr>
          <w:rFonts w:ascii="Times New Roman" w:hAnsi="Times New Roman" w:cs="Times New Roman"/>
          <w:i/>
          <w:sz w:val="24"/>
          <w:szCs w:val="24"/>
        </w:rPr>
        <w:t>after having completed the terminal degree</w:t>
      </w:r>
      <w:r>
        <w:rPr>
          <w:rFonts w:ascii="Times New Roman" w:hAnsi="Times New Roman" w:cs="Times New Roman"/>
          <w:sz w:val="24"/>
          <w:szCs w:val="24"/>
        </w:rPr>
        <w:t xml:space="preserve">. </w:t>
      </w:r>
      <w:r w:rsidR="00E315F9">
        <w:rPr>
          <w:rFonts w:ascii="Times New Roman" w:hAnsi="Times New Roman" w:cs="Times New Roman"/>
          <w:sz w:val="24"/>
          <w:szCs w:val="24"/>
        </w:rPr>
        <w:t xml:space="preserve">Post-doc experience will not meet this requirement.  </w:t>
      </w:r>
      <w:r>
        <w:rPr>
          <w:rFonts w:ascii="Times New Roman" w:hAnsi="Times New Roman" w:cs="Times New Roman"/>
          <w:sz w:val="24"/>
          <w:szCs w:val="24"/>
        </w:rPr>
        <w:t xml:space="preserve">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for </w:t>
      </w:r>
      <w:r w:rsidR="00ED172C">
        <w:rPr>
          <w:rFonts w:ascii="Times New Roman" w:hAnsi="Times New Roman" w:cs="Times New Roman"/>
          <w:sz w:val="24"/>
          <w:szCs w:val="24"/>
        </w:rPr>
        <w:t xml:space="preserve">appointment as </w:t>
      </w:r>
      <w:r>
        <w:rPr>
          <w:rFonts w:ascii="Times New Roman" w:hAnsi="Times New Roman" w:cs="Times New Roman"/>
          <w:sz w:val="24"/>
          <w:szCs w:val="24"/>
        </w:rPr>
        <w:t>teaching full professor</w:t>
      </w:r>
      <w:r w:rsidR="00ED172C">
        <w:rPr>
          <w:rFonts w:ascii="Times New Roman" w:hAnsi="Times New Roman" w:cs="Times New Roman"/>
          <w:sz w:val="24"/>
          <w:szCs w:val="24"/>
        </w:rPr>
        <w:t xml:space="preserve"> (or promotion to teaching full professor from teaching associate professor)</w:t>
      </w:r>
      <w:r>
        <w:rPr>
          <w:rFonts w:ascii="Times New Roman" w:hAnsi="Times New Roman" w:cs="Times New Roman"/>
          <w:sz w:val="24"/>
          <w:szCs w:val="24"/>
        </w:rPr>
        <w:t xml:space="preserve">, a minimum of ten years of experience </w:t>
      </w:r>
      <w:r w:rsidR="0065129B">
        <w:rPr>
          <w:rFonts w:ascii="Times New Roman" w:hAnsi="Times New Roman" w:cs="Times New Roman"/>
          <w:sz w:val="24"/>
          <w:szCs w:val="24"/>
        </w:rPr>
        <w:t xml:space="preserve">on a university-level faculty </w:t>
      </w:r>
      <w:r w:rsidR="00861552">
        <w:rPr>
          <w:rFonts w:ascii="Times New Roman" w:hAnsi="Times New Roman" w:cs="Times New Roman"/>
          <w:sz w:val="24"/>
          <w:szCs w:val="24"/>
        </w:rPr>
        <w:t xml:space="preserve">after the terminal degree </w:t>
      </w:r>
      <w:r w:rsidR="004D77F7">
        <w:rPr>
          <w:rFonts w:ascii="Times New Roman" w:hAnsi="Times New Roman" w:cs="Times New Roman"/>
          <w:sz w:val="24"/>
          <w:szCs w:val="24"/>
        </w:rPr>
        <w:t xml:space="preserve">is required.  </w:t>
      </w:r>
      <w:r w:rsidR="00ED172C" w:rsidRPr="00ED172C">
        <w:rPr>
          <w:rFonts w:ascii="Times New Roman" w:hAnsi="Times New Roman" w:cs="Times New Roman"/>
          <w:sz w:val="24"/>
          <w:szCs w:val="24"/>
        </w:rPr>
        <w:t xml:space="preserve">Normally the full-time experience on a university-level faculty will occur at the University of Illinois, but exceptions </w:t>
      </w:r>
      <w:proofErr w:type="gramStart"/>
      <w:r w:rsidR="00ED172C" w:rsidRPr="00ED172C">
        <w:rPr>
          <w:rFonts w:ascii="Times New Roman" w:hAnsi="Times New Roman" w:cs="Times New Roman"/>
          <w:sz w:val="24"/>
          <w:szCs w:val="24"/>
        </w:rPr>
        <w:t>can be made</w:t>
      </w:r>
      <w:proofErr w:type="gramEnd"/>
      <w:r w:rsidR="00ED172C" w:rsidRPr="00ED172C">
        <w:rPr>
          <w:rFonts w:ascii="Times New Roman" w:hAnsi="Times New Roman" w:cs="Times New Roman"/>
          <w:sz w:val="24"/>
          <w:szCs w:val="24"/>
        </w:rPr>
        <w:t xml:space="preserve"> with appropriate justification.</w:t>
      </w:r>
      <w:r w:rsidR="00ED172C">
        <w:rPr>
          <w:rFonts w:ascii="Times New Roman" w:hAnsi="Times New Roman" w:cs="Times New Roman"/>
          <w:sz w:val="24"/>
          <w:szCs w:val="24"/>
        </w:rPr>
        <w:t xml:space="preserve"> </w:t>
      </w:r>
      <w:r w:rsidR="00861552">
        <w:rPr>
          <w:rFonts w:ascii="Times New Roman" w:hAnsi="Times New Roman" w:cs="Times New Roman"/>
          <w:sz w:val="24"/>
          <w:szCs w:val="24"/>
        </w:rPr>
        <w:t>There is no maximum time in rank.</w:t>
      </w:r>
    </w:p>
    <w:p w14:paraId="6F9FBD7C" w14:textId="77777777" w:rsidR="004005C8" w:rsidRDefault="004005C8" w:rsidP="000E02FC">
      <w:pPr>
        <w:spacing w:after="0" w:line="240" w:lineRule="auto"/>
        <w:rPr>
          <w:rFonts w:ascii="Times New Roman" w:hAnsi="Times New Roman" w:cs="Times New Roman"/>
          <w:sz w:val="24"/>
          <w:szCs w:val="24"/>
        </w:rPr>
      </w:pPr>
    </w:p>
    <w:p w14:paraId="5E353ACD" w14:textId="0BC131FE" w:rsidR="00A53009" w:rsidRDefault="00A53009" w:rsidP="00A530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long as it is feasible, individuals in the teaching professor ranks will be eligible for </w:t>
      </w:r>
      <w:r w:rsidR="00F667EC">
        <w:rPr>
          <w:rFonts w:ascii="Times New Roman" w:hAnsi="Times New Roman" w:cs="Times New Roman"/>
          <w:sz w:val="24"/>
          <w:szCs w:val="24"/>
        </w:rPr>
        <w:t>multi-</w:t>
      </w:r>
      <w:r>
        <w:rPr>
          <w:rFonts w:ascii="Times New Roman" w:hAnsi="Times New Roman" w:cs="Times New Roman"/>
          <w:sz w:val="24"/>
          <w:szCs w:val="24"/>
        </w:rPr>
        <w:t xml:space="preserve">year contracts. </w:t>
      </w:r>
      <w:r w:rsidR="00F667EC">
        <w:rPr>
          <w:rFonts w:ascii="Times New Roman" w:hAnsi="Times New Roman" w:cs="Times New Roman"/>
          <w:sz w:val="24"/>
          <w:szCs w:val="24"/>
        </w:rPr>
        <w:t>Multi-</w:t>
      </w:r>
      <w:r>
        <w:rPr>
          <w:rFonts w:ascii="Times New Roman" w:hAnsi="Times New Roman" w:cs="Times New Roman"/>
          <w:sz w:val="24"/>
          <w:szCs w:val="24"/>
        </w:rPr>
        <w:t xml:space="preserve">year contracts </w:t>
      </w:r>
      <w:proofErr w:type="gramStart"/>
      <w:r>
        <w:rPr>
          <w:rFonts w:ascii="Times New Roman" w:hAnsi="Times New Roman" w:cs="Times New Roman"/>
          <w:sz w:val="24"/>
          <w:szCs w:val="24"/>
        </w:rPr>
        <w:t>will only be offered</w:t>
      </w:r>
      <w:proofErr w:type="gramEnd"/>
      <w:r>
        <w:rPr>
          <w:rFonts w:ascii="Times New Roman" w:hAnsi="Times New Roman" w:cs="Times New Roman"/>
          <w:sz w:val="24"/>
          <w:szCs w:val="24"/>
        </w:rPr>
        <w:t xml:space="preserve"> to individuals who maintain excellence in their teaching, research, and service obligations, as evaluated in the customary annual reviews. </w:t>
      </w:r>
    </w:p>
    <w:p w14:paraId="45D78B5B" w14:textId="77777777" w:rsidR="00846A45" w:rsidRDefault="00846A45" w:rsidP="00A53009">
      <w:pPr>
        <w:spacing w:after="0" w:line="240" w:lineRule="auto"/>
        <w:rPr>
          <w:rFonts w:ascii="Times New Roman" w:hAnsi="Times New Roman" w:cs="Times New Roman"/>
          <w:sz w:val="24"/>
          <w:szCs w:val="24"/>
        </w:rPr>
      </w:pPr>
    </w:p>
    <w:p w14:paraId="3B1DB4F2" w14:textId="1F14EE1B" w:rsidR="00B9544B" w:rsidRPr="00360F6F" w:rsidRDefault="0065129B" w:rsidP="005E656E">
      <w:pPr>
        <w:spacing w:after="0" w:line="240" w:lineRule="auto"/>
        <w:outlineLvl w:val="0"/>
        <w:rPr>
          <w:rFonts w:ascii="Times New Roman" w:hAnsi="Times New Roman" w:cs="Times New Roman"/>
          <w:b/>
          <w:i/>
          <w:sz w:val="24"/>
          <w:szCs w:val="24"/>
        </w:rPr>
      </w:pPr>
      <w:r>
        <w:rPr>
          <w:rFonts w:ascii="Times New Roman" w:hAnsi="Times New Roman" w:cs="Times New Roman"/>
          <w:b/>
          <w:i/>
          <w:sz w:val="24"/>
          <w:szCs w:val="24"/>
        </w:rPr>
        <w:t>Professorial</w:t>
      </w:r>
      <w:r w:rsidRPr="00360F6F">
        <w:rPr>
          <w:rFonts w:ascii="Times New Roman" w:hAnsi="Times New Roman" w:cs="Times New Roman"/>
          <w:b/>
          <w:i/>
          <w:sz w:val="24"/>
          <w:szCs w:val="24"/>
        </w:rPr>
        <w:t xml:space="preserve"> </w:t>
      </w:r>
      <w:r w:rsidR="00B9544B" w:rsidRPr="00360F6F">
        <w:rPr>
          <w:rFonts w:ascii="Times New Roman" w:hAnsi="Times New Roman" w:cs="Times New Roman"/>
          <w:b/>
          <w:i/>
          <w:sz w:val="24"/>
          <w:szCs w:val="24"/>
        </w:rPr>
        <w:t>Expectations</w:t>
      </w:r>
      <w:r w:rsidR="00E40255">
        <w:rPr>
          <w:rFonts w:ascii="Times New Roman" w:hAnsi="Times New Roman" w:cs="Times New Roman"/>
          <w:b/>
          <w:i/>
          <w:sz w:val="24"/>
          <w:szCs w:val="24"/>
        </w:rPr>
        <w:t xml:space="preserve"> (For All Ranks</w:t>
      </w:r>
      <w:r w:rsidR="004D77F7">
        <w:rPr>
          <w:rFonts w:ascii="Times New Roman" w:hAnsi="Times New Roman" w:cs="Times New Roman"/>
          <w:b/>
          <w:i/>
          <w:sz w:val="24"/>
          <w:szCs w:val="24"/>
        </w:rPr>
        <w:t xml:space="preserve"> of Teaching Professors</w:t>
      </w:r>
      <w:r w:rsidR="00E40255">
        <w:rPr>
          <w:rFonts w:ascii="Times New Roman" w:hAnsi="Times New Roman" w:cs="Times New Roman"/>
          <w:b/>
          <w:i/>
          <w:sz w:val="24"/>
          <w:szCs w:val="24"/>
        </w:rPr>
        <w:t>)</w:t>
      </w:r>
    </w:p>
    <w:p w14:paraId="7DB38605" w14:textId="0DA7928D" w:rsidR="00B9544B" w:rsidRDefault="00222FAA"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The title of “professor” comes with expectations that one engages with and contributes to a scholarly community in ways that go beyond teaching alone. Thus, t</w:t>
      </w:r>
      <w:r w:rsidR="0065129B">
        <w:rPr>
          <w:rFonts w:ascii="Times New Roman" w:hAnsi="Times New Roman" w:cs="Times New Roman"/>
          <w:sz w:val="24"/>
          <w:szCs w:val="24"/>
        </w:rPr>
        <w:t xml:space="preserve">eaching professors of any rank </w:t>
      </w:r>
      <w:proofErr w:type="gramStart"/>
      <w:r w:rsidR="0065129B">
        <w:rPr>
          <w:rFonts w:ascii="Times New Roman" w:hAnsi="Times New Roman" w:cs="Times New Roman"/>
          <w:sz w:val="24"/>
          <w:szCs w:val="24"/>
        </w:rPr>
        <w:t>are expected</w:t>
      </w:r>
      <w:proofErr w:type="gramEnd"/>
      <w:r w:rsidR="0065129B">
        <w:rPr>
          <w:rFonts w:ascii="Times New Roman" w:hAnsi="Times New Roman" w:cs="Times New Roman"/>
          <w:sz w:val="24"/>
          <w:szCs w:val="24"/>
        </w:rPr>
        <w:t xml:space="preserve"> to engage in teaching, research, and service. The </w:t>
      </w:r>
      <w:r w:rsidR="0065129B" w:rsidRPr="00EF2DE9">
        <w:rPr>
          <w:rFonts w:ascii="Times New Roman" w:hAnsi="Times New Roman" w:cs="Times New Roman"/>
          <w:i/>
          <w:sz w:val="24"/>
          <w:szCs w:val="24"/>
        </w:rPr>
        <w:t>expectations for</w:t>
      </w:r>
      <w:r w:rsidR="0065129B">
        <w:rPr>
          <w:rFonts w:ascii="Times New Roman" w:hAnsi="Times New Roman" w:cs="Times New Roman"/>
          <w:sz w:val="24"/>
          <w:szCs w:val="24"/>
        </w:rPr>
        <w:t xml:space="preserve"> </w:t>
      </w:r>
      <w:r w:rsidR="0065129B">
        <w:rPr>
          <w:rFonts w:ascii="Times New Roman" w:hAnsi="Times New Roman" w:cs="Times New Roman"/>
          <w:i/>
          <w:sz w:val="24"/>
          <w:szCs w:val="24"/>
        </w:rPr>
        <w:t xml:space="preserve">teaching </w:t>
      </w:r>
      <w:r w:rsidR="0065129B">
        <w:rPr>
          <w:rFonts w:ascii="Times New Roman" w:hAnsi="Times New Roman" w:cs="Times New Roman"/>
          <w:sz w:val="24"/>
          <w:szCs w:val="24"/>
        </w:rPr>
        <w:t xml:space="preserve">involve being more than a good classroom teacher. Teaching professors </w:t>
      </w:r>
      <w:proofErr w:type="gramStart"/>
      <w:r w:rsidR="0065129B">
        <w:rPr>
          <w:rFonts w:ascii="Times New Roman" w:hAnsi="Times New Roman" w:cs="Times New Roman"/>
          <w:sz w:val="24"/>
          <w:szCs w:val="24"/>
        </w:rPr>
        <w:t>are also expected</w:t>
      </w:r>
      <w:proofErr w:type="gramEnd"/>
      <w:r w:rsidR="0065129B">
        <w:rPr>
          <w:rFonts w:ascii="Times New Roman" w:hAnsi="Times New Roman" w:cs="Times New Roman"/>
          <w:sz w:val="24"/>
          <w:szCs w:val="24"/>
        </w:rPr>
        <w:t xml:space="preserve"> to contribute to the pedagogical goals of the department and campus beyond their own classroom. </w:t>
      </w:r>
      <w:r>
        <w:rPr>
          <w:rFonts w:ascii="Times New Roman" w:hAnsi="Times New Roman" w:cs="Times New Roman"/>
          <w:sz w:val="24"/>
          <w:szCs w:val="24"/>
        </w:rPr>
        <w:t xml:space="preserve">Activities that can help fulfill this expectation include (but are not limited to): (a) supervising multi-section courses; (b) training and supervising teaching assistants, instructors, </w:t>
      </w:r>
      <w:r w:rsidR="00F667EC">
        <w:rPr>
          <w:rFonts w:ascii="Times New Roman" w:hAnsi="Times New Roman" w:cs="Times New Roman"/>
          <w:sz w:val="24"/>
          <w:szCs w:val="24"/>
        </w:rPr>
        <w:t xml:space="preserve">and </w:t>
      </w:r>
      <w:r>
        <w:rPr>
          <w:rFonts w:ascii="Times New Roman" w:hAnsi="Times New Roman" w:cs="Times New Roman"/>
          <w:sz w:val="24"/>
          <w:szCs w:val="24"/>
        </w:rPr>
        <w:t xml:space="preserve"> lecturers; (c) developing new courses or making improvements to the curriculum; (d) demonstrably improving the way an existing course is structured or taught</w:t>
      </w:r>
      <w:r w:rsidR="00D41B80">
        <w:rPr>
          <w:rFonts w:ascii="Times New Roman" w:hAnsi="Times New Roman" w:cs="Times New Roman"/>
          <w:sz w:val="24"/>
          <w:szCs w:val="24"/>
        </w:rPr>
        <w:t>, and (e) directing internship programs</w:t>
      </w:r>
      <w:r>
        <w:rPr>
          <w:rFonts w:ascii="Times New Roman" w:hAnsi="Times New Roman" w:cs="Times New Roman"/>
          <w:sz w:val="24"/>
          <w:szCs w:val="24"/>
        </w:rPr>
        <w:t xml:space="preserve">. </w:t>
      </w:r>
      <w:r w:rsidR="004D77F7">
        <w:rPr>
          <w:rFonts w:ascii="Times New Roman" w:hAnsi="Times New Roman" w:cs="Times New Roman"/>
          <w:sz w:val="24"/>
          <w:szCs w:val="24"/>
        </w:rPr>
        <w:t xml:space="preserve">  </w:t>
      </w:r>
      <w:r>
        <w:rPr>
          <w:rFonts w:ascii="Times New Roman" w:hAnsi="Times New Roman" w:cs="Times New Roman"/>
          <w:sz w:val="24"/>
          <w:szCs w:val="24"/>
        </w:rPr>
        <w:t>I</w:t>
      </w:r>
      <w:r w:rsidR="00B9544B">
        <w:rPr>
          <w:rFonts w:ascii="Times New Roman" w:hAnsi="Times New Roman" w:cs="Times New Roman"/>
          <w:sz w:val="24"/>
          <w:szCs w:val="24"/>
        </w:rPr>
        <w:t xml:space="preserve">ndividuals in the teaching professor ranks </w:t>
      </w:r>
      <w:r>
        <w:rPr>
          <w:rFonts w:ascii="Times New Roman" w:hAnsi="Times New Roman" w:cs="Times New Roman"/>
          <w:sz w:val="24"/>
          <w:szCs w:val="24"/>
        </w:rPr>
        <w:t xml:space="preserve">also </w:t>
      </w:r>
      <w:r w:rsidR="00B9544B">
        <w:rPr>
          <w:rFonts w:ascii="Times New Roman" w:hAnsi="Times New Roman" w:cs="Times New Roman"/>
          <w:sz w:val="24"/>
          <w:szCs w:val="24"/>
        </w:rPr>
        <w:t xml:space="preserve">are expected to engage in research activities that enhance the </w:t>
      </w:r>
      <w:proofErr w:type="gramStart"/>
      <w:r w:rsidR="00B9544B">
        <w:rPr>
          <w:rFonts w:ascii="Times New Roman" w:hAnsi="Times New Roman" w:cs="Times New Roman"/>
          <w:sz w:val="24"/>
          <w:szCs w:val="24"/>
        </w:rPr>
        <w:t>department’s</w:t>
      </w:r>
      <w:proofErr w:type="gramEnd"/>
      <w:r w:rsidR="00B9544B">
        <w:rPr>
          <w:rFonts w:ascii="Times New Roman" w:hAnsi="Times New Roman" w:cs="Times New Roman"/>
          <w:sz w:val="24"/>
          <w:szCs w:val="24"/>
        </w:rPr>
        <w:t xml:space="preserve"> and campus’s reputation beyond the local community. There are two ways that the </w:t>
      </w:r>
      <w:r w:rsidR="00B9544B" w:rsidRPr="00E315F9">
        <w:rPr>
          <w:rFonts w:ascii="Times New Roman" w:hAnsi="Times New Roman" w:cs="Times New Roman"/>
          <w:i/>
          <w:sz w:val="24"/>
          <w:szCs w:val="24"/>
        </w:rPr>
        <w:t>research expectations</w:t>
      </w:r>
      <w:r w:rsidR="00B9544B">
        <w:rPr>
          <w:rFonts w:ascii="Times New Roman" w:hAnsi="Times New Roman" w:cs="Times New Roman"/>
          <w:sz w:val="24"/>
          <w:szCs w:val="24"/>
        </w:rPr>
        <w:t xml:space="preserve"> </w:t>
      </w:r>
      <w:proofErr w:type="gramStart"/>
      <w:r w:rsidR="00B9544B">
        <w:rPr>
          <w:rFonts w:ascii="Times New Roman" w:hAnsi="Times New Roman" w:cs="Times New Roman"/>
          <w:sz w:val="24"/>
          <w:szCs w:val="24"/>
        </w:rPr>
        <w:t>can be met</w:t>
      </w:r>
      <w:proofErr w:type="gramEnd"/>
      <w:r w:rsidR="00B9544B">
        <w:rPr>
          <w:rFonts w:ascii="Times New Roman" w:hAnsi="Times New Roman" w:cs="Times New Roman"/>
          <w:sz w:val="24"/>
          <w:szCs w:val="24"/>
        </w:rPr>
        <w:t xml:space="preserve">. </w:t>
      </w:r>
    </w:p>
    <w:p w14:paraId="441FD4D8" w14:textId="77777777" w:rsidR="0037667D" w:rsidRDefault="0037667D" w:rsidP="000E02FC">
      <w:pPr>
        <w:spacing w:after="0" w:line="240" w:lineRule="auto"/>
        <w:rPr>
          <w:rFonts w:ascii="Times New Roman" w:hAnsi="Times New Roman" w:cs="Times New Roman"/>
          <w:sz w:val="24"/>
          <w:szCs w:val="24"/>
        </w:rPr>
      </w:pPr>
    </w:p>
    <w:p w14:paraId="5ACA43B0" w14:textId="3401A13D" w:rsidR="0037667D" w:rsidRDefault="0037667D" w:rsidP="003766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Teaching professors may engage in research aimed at enhancing the quality of education</w:t>
      </w:r>
      <w:r w:rsidR="005E656E">
        <w:rPr>
          <w:rFonts w:ascii="Times New Roman" w:hAnsi="Times New Roman" w:cs="Times New Roman"/>
          <w:sz w:val="24"/>
          <w:szCs w:val="24"/>
        </w:rPr>
        <w:t xml:space="preserve"> in anthropology</w:t>
      </w:r>
      <w:r>
        <w:rPr>
          <w:rFonts w:ascii="Times New Roman" w:hAnsi="Times New Roman" w:cs="Times New Roman"/>
          <w:sz w:val="24"/>
          <w:szCs w:val="24"/>
        </w:rPr>
        <w:t xml:space="preserve">. Dissemination of that research may be at conferences or workshops, through traditional publication outlets, and through any channel that generates impact beyond the campus and allows </w:t>
      </w:r>
      <w:proofErr w:type="gramStart"/>
      <w:r>
        <w:rPr>
          <w:rFonts w:ascii="Times New Roman" w:hAnsi="Times New Roman" w:cs="Times New Roman"/>
          <w:sz w:val="24"/>
          <w:szCs w:val="24"/>
        </w:rPr>
        <w:t>for the</w:t>
      </w:r>
      <w:proofErr w:type="gramEnd"/>
      <w:r>
        <w:rPr>
          <w:rFonts w:ascii="Times New Roman" w:hAnsi="Times New Roman" w:cs="Times New Roman"/>
          <w:sz w:val="24"/>
          <w:szCs w:val="24"/>
        </w:rPr>
        <w:t xml:space="preserve"> scholarly impact to be documented. 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for promotion, teaching assistant professors whose scholarship focuses on </w:t>
      </w:r>
      <w:r w:rsidR="005E656E">
        <w:rPr>
          <w:rFonts w:ascii="Times New Roman" w:hAnsi="Times New Roman" w:cs="Times New Roman"/>
          <w:sz w:val="24"/>
          <w:szCs w:val="24"/>
        </w:rPr>
        <w:t xml:space="preserve">anthropological </w:t>
      </w:r>
      <w:r>
        <w:rPr>
          <w:rFonts w:ascii="Times New Roman" w:hAnsi="Times New Roman" w:cs="Times New Roman"/>
          <w:sz w:val="24"/>
          <w:szCs w:val="24"/>
        </w:rPr>
        <w:t xml:space="preserve">education will be expected to provide evidence that they have established a positive scholarly reputation beyond the campus.  </w:t>
      </w:r>
    </w:p>
    <w:p w14:paraId="1C9395CD" w14:textId="77777777" w:rsidR="0037667D" w:rsidRDefault="0037667D" w:rsidP="0037667D">
      <w:pPr>
        <w:spacing w:after="0" w:line="240" w:lineRule="auto"/>
        <w:ind w:left="720"/>
        <w:rPr>
          <w:rFonts w:ascii="Times New Roman" w:hAnsi="Times New Roman" w:cs="Times New Roman"/>
          <w:sz w:val="24"/>
          <w:szCs w:val="24"/>
        </w:rPr>
      </w:pPr>
    </w:p>
    <w:p w14:paraId="64E68B4C" w14:textId="60B21AAE" w:rsidR="0037667D" w:rsidRDefault="0037667D" w:rsidP="003766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Second, in some cases teaching assistant professors will be engaged in research </w:t>
      </w:r>
      <w:r w:rsidR="00307DEF">
        <w:rPr>
          <w:rFonts w:ascii="Times New Roman" w:hAnsi="Times New Roman" w:cs="Times New Roman"/>
          <w:sz w:val="24"/>
          <w:szCs w:val="24"/>
        </w:rPr>
        <w:t xml:space="preserve">related to </w:t>
      </w:r>
      <w:r>
        <w:rPr>
          <w:rFonts w:ascii="Times New Roman" w:hAnsi="Times New Roman" w:cs="Times New Roman"/>
          <w:sz w:val="24"/>
          <w:szCs w:val="24"/>
        </w:rPr>
        <w:t xml:space="preserve">strategic areas of emphasis </w:t>
      </w:r>
      <w:r w:rsidR="009273D4">
        <w:rPr>
          <w:rFonts w:ascii="Times New Roman" w:hAnsi="Times New Roman" w:cs="Times New Roman"/>
          <w:sz w:val="24"/>
          <w:szCs w:val="24"/>
        </w:rPr>
        <w:t>within</w:t>
      </w:r>
      <w:r>
        <w:rPr>
          <w:rFonts w:ascii="Times New Roman" w:hAnsi="Times New Roman" w:cs="Times New Roman"/>
          <w:sz w:val="24"/>
          <w:szCs w:val="24"/>
        </w:rPr>
        <w:t xml:space="preserve"> the department</w:t>
      </w:r>
      <w:r w:rsidR="009273D4">
        <w:rPr>
          <w:rFonts w:ascii="Times New Roman" w:hAnsi="Times New Roman" w:cs="Times New Roman"/>
          <w:sz w:val="24"/>
          <w:szCs w:val="24"/>
        </w:rPr>
        <w:t xml:space="preserve">. </w:t>
      </w:r>
      <w:r w:rsidR="00307DEF">
        <w:rPr>
          <w:rFonts w:ascii="Times New Roman" w:hAnsi="Times New Roman" w:cs="Times New Roman"/>
          <w:sz w:val="24"/>
          <w:szCs w:val="24"/>
        </w:rPr>
        <w:t xml:space="preserve">If this route </w:t>
      </w:r>
      <w:proofErr w:type="gramStart"/>
      <w:r w:rsidR="00307DEF">
        <w:rPr>
          <w:rFonts w:ascii="Times New Roman" w:hAnsi="Times New Roman" w:cs="Times New Roman"/>
          <w:sz w:val="24"/>
          <w:szCs w:val="24"/>
        </w:rPr>
        <w:t>is chosen</w:t>
      </w:r>
      <w:proofErr w:type="gramEnd"/>
      <w:r w:rsidR="00307DEF">
        <w:rPr>
          <w:rFonts w:ascii="Times New Roman" w:hAnsi="Times New Roman" w:cs="Times New Roman"/>
          <w:sz w:val="24"/>
          <w:szCs w:val="24"/>
        </w:rPr>
        <w:t>, t</w:t>
      </w:r>
      <w:r w:rsidR="009273D4">
        <w:rPr>
          <w:rFonts w:ascii="Times New Roman" w:hAnsi="Times New Roman" w:cs="Times New Roman"/>
          <w:sz w:val="24"/>
          <w:szCs w:val="24"/>
        </w:rPr>
        <w:t xml:space="preserve">he quality of work is expected to be </w:t>
      </w:r>
      <w:r w:rsidR="00CA79A1">
        <w:rPr>
          <w:rFonts w:ascii="Times New Roman" w:hAnsi="Times New Roman" w:cs="Times New Roman"/>
          <w:sz w:val="24"/>
          <w:szCs w:val="24"/>
        </w:rPr>
        <w:t>high, although</w:t>
      </w:r>
      <w:r>
        <w:rPr>
          <w:rFonts w:ascii="Times New Roman" w:hAnsi="Times New Roman" w:cs="Times New Roman"/>
          <w:sz w:val="24"/>
          <w:szCs w:val="24"/>
        </w:rPr>
        <w:t xml:space="preserve"> the expectation for scholarly productivity would be less to reflect the smaller percentage of one’s appointment assigned to research (15% compared to 40% for tenure track faculty in the department). The expectation for quality implies that teaching professors choosing this route </w:t>
      </w:r>
      <w:proofErr w:type="gramStart"/>
      <w:r>
        <w:rPr>
          <w:rFonts w:ascii="Times New Roman" w:hAnsi="Times New Roman" w:cs="Times New Roman"/>
          <w:sz w:val="24"/>
          <w:szCs w:val="24"/>
        </w:rPr>
        <w:t>would be expected</w:t>
      </w:r>
      <w:proofErr w:type="gramEnd"/>
      <w:r>
        <w:rPr>
          <w:rFonts w:ascii="Times New Roman" w:hAnsi="Times New Roman" w:cs="Times New Roman"/>
          <w:sz w:val="24"/>
          <w:szCs w:val="24"/>
        </w:rPr>
        <w:t xml:space="preserve"> to publish in the same kinds of journals or in the same kinds of presses as are tenure track professors seeking promotion. </w:t>
      </w:r>
    </w:p>
    <w:p w14:paraId="143545FA" w14:textId="77777777" w:rsidR="0037667D" w:rsidRDefault="0037667D" w:rsidP="000E02FC">
      <w:pPr>
        <w:spacing w:after="0" w:line="240" w:lineRule="auto"/>
        <w:rPr>
          <w:rFonts w:ascii="Times New Roman" w:hAnsi="Times New Roman" w:cs="Times New Roman"/>
          <w:sz w:val="24"/>
          <w:szCs w:val="24"/>
        </w:rPr>
      </w:pPr>
    </w:p>
    <w:p w14:paraId="6B297369" w14:textId="77777777" w:rsidR="00B9544B" w:rsidRDefault="00B9544B" w:rsidP="000E02FC">
      <w:pPr>
        <w:spacing w:after="0" w:line="240" w:lineRule="auto"/>
        <w:rPr>
          <w:rFonts w:ascii="Times New Roman" w:hAnsi="Times New Roman" w:cs="Times New Roman"/>
          <w:sz w:val="24"/>
          <w:szCs w:val="24"/>
        </w:rPr>
      </w:pPr>
    </w:p>
    <w:p w14:paraId="662A7DE2" w14:textId="3B3772BC" w:rsidR="00222FAA" w:rsidRDefault="00222FAA"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there are </w:t>
      </w:r>
      <w:r>
        <w:rPr>
          <w:rFonts w:ascii="Times New Roman" w:hAnsi="Times New Roman" w:cs="Times New Roman"/>
          <w:i/>
          <w:sz w:val="24"/>
          <w:szCs w:val="24"/>
        </w:rPr>
        <w:t xml:space="preserve">service expectations </w:t>
      </w:r>
      <w:r>
        <w:rPr>
          <w:rFonts w:ascii="Times New Roman" w:hAnsi="Times New Roman" w:cs="Times New Roman"/>
          <w:sz w:val="24"/>
          <w:szCs w:val="24"/>
        </w:rPr>
        <w:t xml:space="preserve">for individuals in the teaching professor ranks. The service expectations </w:t>
      </w:r>
      <w:proofErr w:type="gramStart"/>
      <w:r>
        <w:rPr>
          <w:rFonts w:ascii="Times New Roman" w:hAnsi="Times New Roman" w:cs="Times New Roman"/>
          <w:sz w:val="24"/>
          <w:szCs w:val="24"/>
        </w:rPr>
        <w:t>may be fulfilled</w:t>
      </w:r>
      <w:proofErr w:type="gramEnd"/>
      <w:r>
        <w:rPr>
          <w:rFonts w:ascii="Times New Roman" w:hAnsi="Times New Roman" w:cs="Times New Roman"/>
          <w:sz w:val="24"/>
          <w:szCs w:val="24"/>
        </w:rPr>
        <w:t xml:space="preserve"> through service to the department, the college, the campus, or the discipline. Ideally, individuals will contribute in multiple ways at multiple levels in a manner </w:t>
      </w:r>
      <w:r>
        <w:rPr>
          <w:rFonts w:ascii="Times New Roman" w:hAnsi="Times New Roman" w:cs="Times New Roman"/>
          <w:sz w:val="24"/>
          <w:szCs w:val="24"/>
        </w:rPr>
        <w:lastRenderedPageBreak/>
        <w:t xml:space="preserve">befitting the title of “professor.’ </w:t>
      </w:r>
      <w:r w:rsidR="00D41B80">
        <w:rPr>
          <w:rFonts w:ascii="Times New Roman" w:hAnsi="Times New Roman" w:cs="Times New Roman"/>
          <w:sz w:val="24"/>
          <w:szCs w:val="24"/>
        </w:rPr>
        <w:t xml:space="preserve">Some activities that may meet the service expectation include (but are not limited to) serving on departmental or college committees, acting as the faculty supervisor for department or campus student groups, providing peer reviews for conferences or journals, and holding office in professional associations. </w:t>
      </w:r>
      <w:r>
        <w:rPr>
          <w:rFonts w:ascii="Times New Roman" w:hAnsi="Times New Roman" w:cs="Times New Roman"/>
          <w:sz w:val="24"/>
          <w:szCs w:val="24"/>
        </w:rPr>
        <w:t xml:space="preserve"> </w:t>
      </w:r>
    </w:p>
    <w:p w14:paraId="072C3E2B" w14:textId="77777777" w:rsidR="00222FAA" w:rsidRDefault="00222FAA" w:rsidP="000E02FC">
      <w:pPr>
        <w:spacing w:after="0" w:line="240" w:lineRule="auto"/>
        <w:rPr>
          <w:rFonts w:ascii="Times New Roman" w:hAnsi="Times New Roman" w:cs="Times New Roman"/>
          <w:sz w:val="24"/>
          <w:szCs w:val="24"/>
        </w:rPr>
      </w:pPr>
    </w:p>
    <w:p w14:paraId="72987477" w14:textId="77777777" w:rsidR="00861552" w:rsidRPr="00360F6F" w:rsidRDefault="00861552" w:rsidP="005E656E">
      <w:pPr>
        <w:spacing w:after="0" w:line="240" w:lineRule="auto"/>
        <w:outlineLvl w:val="0"/>
        <w:rPr>
          <w:rFonts w:ascii="Times New Roman" w:hAnsi="Times New Roman" w:cs="Times New Roman"/>
          <w:b/>
          <w:i/>
          <w:sz w:val="24"/>
          <w:szCs w:val="24"/>
        </w:rPr>
      </w:pPr>
      <w:r w:rsidRPr="00360F6F">
        <w:rPr>
          <w:rFonts w:ascii="Times New Roman" w:hAnsi="Times New Roman" w:cs="Times New Roman"/>
          <w:b/>
          <w:i/>
          <w:sz w:val="24"/>
          <w:szCs w:val="24"/>
        </w:rPr>
        <w:t xml:space="preserve">Teaching </w:t>
      </w:r>
      <w:r w:rsidR="00A53009">
        <w:rPr>
          <w:rFonts w:ascii="Times New Roman" w:hAnsi="Times New Roman" w:cs="Times New Roman"/>
          <w:b/>
          <w:i/>
          <w:sz w:val="24"/>
          <w:szCs w:val="24"/>
        </w:rPr>
        <w:t xml:space="preserve">Assistant </w:t>
      </w:r>
      <w:r w:rsidRPr="00360F6F">
        <w:rPr>
          <w:rFonts w:ascii="Times New Roman" w:hAnsi="Times New Roman" w:cs="Times New Roman"/>
          <w:b/>
          <w:i/>
          <w:sz w:val="24"/>
          <w:szCs w:val="24"/>
        </w:rPr>
        <w:t>Professors</w:t>
      </w:r>
    </w:p>
    <w:p w14:paraId="5DB8FC21" w14:textId="75C90978" w:rsidR="00861552" w:rsidRDefault="00861552" w:rsidP="000E02F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Potential appointments to the rank of </w:t>
      </w:r>
      <w:r w:rsidRPr="00A53009">
        <w:rPr>
          <w:rFonts w:ascii="Times New Roman" w:hAnsi="Times New Roman" w:cs="Times New Roman"/>
          <w:i/>
          <w:sz w:val="24"/>
          <w:szCs w:val="24"/>
        </w:rPr>
        <w:t>teaching assistant professor</w:t>
      </w:r>
      <w:r>
        <w:rPr>
          <w:rFonts w:ascii="Times New Roman" w:hAnsi="Times New Roman" w:cs="Times New Roman"/>
          <w:sz w:val="24"/>
          <w:szCs w:val="24"/>
        </w:rPr>
        <w:t xml:space="preserve"> will be evaluated by the department’s </w:t>
      </w:r>
      <w:r w:rsidR="0037667D">
        <w:rPr>
          <w:rFonts w:ascii="Times New Roman" w:hAnsi="Times New Roman" w:cs="Times New Roman"/>
          <w:sz w:val="24"/>
          <w:szCs w:val="24"/>
        </w:rPr>
        <w:t>Advisory</w:t>
      </w:r>
      <w:r w:rsidR="0037667D" w:rsidRPr="00211C0E">
        <w:rPr>
          <w:rFonts w:ascii="Times New Roman" w:hAnsi="Times New Roman" w:cs="Times New Roman"/>
          <w:sz w:val="24"/>
          <w:szCs w:val="24"/>
        </w:rPr>
        <w:t xml:space="preserve"> </w:t>
      </w:r>
      <w:r w:rsidRPr="00211C0E">
        <w:rPr>
          <w:rFonts w:ascii="Times New Roman" w:hAnsi="Times New Roman" w:cs="Times New Roman"/>
          <w:sz w:val="24"/>
          <w:szCs w:val="24"/>
        </w:rPr>
        <w:t>Committee</w:t>
      </w:r>
      <w:proofErr w:type="gramEnd"/>
      <w:r>
        <w:rPr>
          <w:rFonts w:ascii="Times New Roman" w:hAnsi="Times New Roman" w:cs="Times New Roman"/>
          <w:sz w:val="24"/>
          <w:szCs w:val="24"/>
        </w:rPr>
        <w:t>. To earn the title of teaching assistant professor, prospective candidates must provide evidence that they are excellent teachers and that they have a high potential for making “</w:t>
      </w:r>
      <w:r w:rsidRPr="0012577C">
        <w:rPr>
          <w:rFonts w:ascii="Times New Roman" w:hAnsi="Times New Roman" w:cs="Times New Roman"/>
          <w:sz w:val="24"/>
          <w:szCs w:val="24"/>
        </w:rPr>
        <w:t>an</w:t>
      </w:r>
      <w:r>
        <w:rPr>
          <w:rFonts w:ascii="Times New Roman" w:hAnsi="Times New Roman" w:cs="Times New Roman"/>
          <w:sz w:val="24"/>
          <w:szCs w:val="24"/>
        </w:rPr>
        <w:t xml:space="preserve"> </w:t>
      </w:r>
      <w:r w:rsidRPr="0012577C">
        <w:rPr>
          <w:rFonts w:ascii="Times New Roman" w:hAnsi="Times New Roman" w:cs="Times New Roman"/>
          <w:sz w:val="24"/>
          <w:szCs w:val="24"/>
        </w:rPr>
        <w:t>instructional</w:t>
      </w:r>
      <w:r>
        <w:rPr>
          <w:rFonts w:ascii="Times New Roman" w:hAnsi="Times New Roman" w:cs="Times New Roman"/>
          <w:sz w:val="24"/>
          <w:szCs w:val="24"/>
        </w:rPr>
        <w:t xml:space="preserve"> </w:t>
      </w:r>
      <w:r w:rsidRPr="0012577C">
        <w:rPr>
          <w:rFonts w:ascii="Times New Roman" w:hAnsi="Times New Roman" w:cs="Times New Roman"/>
          <w:sz w:val="24"/>
          <w:szCs w:val="24"/>
        </w:rPr>
        <w:t>impact both</w:t>
      </w:r>
      <w:r>
        <w:rPr>
          <w:rFonts w:ascii="Times New Roman" w:hAnsi="Times New Roman" w:cs="Times New Roman"/>
          <w:sz w:val="24"/>
          <w:szCs w:val="24"/>
        </w:rPr>
        <w:t xml:space="preserve"> </w:t>
      </w:r>
      <w:r w:rsidRPr="0012577C">
        <w:rPr>
          <w:rFonts w:ascii="Times New Roman" w:hAnsi="Times New Roman" w:cs="Times New Roman"/>
          <w:sz w:val="24"/>
          <w:szCs w:val="24"/>
        </w:rPr>
        <w:t>within the department</w:t>
      </w:r>
      <w:r>
        <w:rPr>
          <w:rFonts w:ascii="Times New Roman" w:hAnsi="Times New Roman" w:cs="Times New Roman"/>
          <w:sz w:val="24"/>
          <w:szCs w:val="24"/>
        </w:rPr>
        <w:t xml:space="preserve"> </w:t>
      </w:r>
      <w:r w:rsidRPr="0012577C">
        <w:rPr>
          <w:rFonts w:ascii="Times New Roman" w:hAnsi="Times New Roman" w:cs="Times New Roman"/>
          <w:sz w:val="24"/>
          <w:szCs w:val="24"/>
        </w:rPr>
        <w:t>and</w:t>
      </w:r>
      <w:r>
        <w:rPr>
          <w:rFonts w:ascii="Times New Roman" w:hAnsi="Times New Roman" w:cs="Times New Roman"/>
          <w:sz w:val="24"/>
          <w:szCs w:val="24"/>
        </w:rPr>
        <w:t xml:space="preserve"> </w:t>
      </w:r>
      <w:r w:rsidRPr="0012577C">
        <w:rPr>
          <w:rFonts w:ascii="Times New Roman" w:hAnsi="Times New Roman" w:cs="Times New Roman"/>
          <w:sz w:val="24"/>
          <w:szCs w:val="24"/>
        </w:rPr>
        <w:t>beyond</w:t>
      </w:r>
      <w:r>
        <w:rPr>
          <w:rFonts w:ascii="Times New Roman" w:hAnsi="Times New Roman" w:cs="Times New Roman"/>
          <w:sz w:val="24"/>
          <w:szCs w:val="24"/>
        </w:rPr>
        <w:t>.”</w:t>
      </w:r>
    </w:p>
    <w:p w14:paraId="1CAD646B" w14:textId="77777777" w:rsidR="00861552" w:rsidRDefault="00861552" w:rsidP="000E02FC">
      <w:pPr>
        <w:spacing w:after="0" w:line="240" w:lineRule="auto"/>
        <w:rPr>
          <w:rFonts w:ascii="Times New Roman" w:hAnsi="Times New Roman" w:cs="Times New Roman"/>
          <w:sz w:val="24"/>
          <w:szCs w:val="24"/>
        </w:rPr>
      </w:pPr>
    </w:p>
    <w:p w14:paraId="42F21BF6" w14:textId="4A1259C2" w:rsidR="00861552" w:rsidRDefault="00861552"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for appointment as teaching assistant professor, candidates </w:t>
      </w:r>
      <w:r w:rsidR="00A53009">
        <w:rPr>
          <w:rFonts w:ascii="Times New Roman" w:hAnsi="Times New Roman" w:cs="Times New Roman"/>
          <w:sz w:val="24"/>
          <w:szCs w:val="24"/>
        </w:rPr>
        <w:t>prov</w:t>
      </w:r>
      <w:r w:rsidR="00783132">
        <w:rPr>
          <w:rFonts w:ascii="Times New Roman" w:hAnsi="Times New Roman" w:cs="Times New Roman"/>
          <w:sz w:val="24"/>
          <w:szCs w:val="24"/>
        </w:rPr>
        <w:t>i</w:t>
      </w:r>
      <w:r w:rsidR="00A53009">
        <w:rPr>
          <w:rFonts w:ascii="Times New Roman" w:hAnsi="Times New Roman" w:cs="Times New Roman"/>
          <w:sz w:val="24"/>
          <w:szCs w:val="24"/>
        </w:rPr>
        <w:t>de</w:t>
      </w:r>
      <w:r>
        <w:rPr>
          <w:rFonts w:ascii="Times New Roman" w:hAnsi="Times New Roman" w:cs="Times New Roman"/>
          <w:sz w:val="24"/>
          <w:szCs w:val="24"/>
        </w:rPr>
        <w:t>:</w:t>
      </w:r>
    </w:p>
    <w:p w14:paraId="5D2783F5" w14:textId="02763F02" w:rsidR="00861552" w:rsidRDefault="00A53009" w:rsidP="000E02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61552">
        <w:rPr>
          <w:rFonts w:ascii="Times New Roman" w:hAnsi="Times New Roman" w:cs="Times New Roman"/>
          <w:sz w:val="24"/>
          <w:szCs w:val="24"/>
        </w:rPr>
        <w:t xml:space="preserve">complete </w:t>
      </w:r>
      <w:r>
        <w:rPr>
          <w:rFonts w:ascii="Times New Roman" w:hAnsi="Times New Roman" w:cs="Times New Roman"/>
          <w:sz w:val="24"/>
          <w:szCs w:val="24"/>
        </w:rPr>
        <w:t xml:space="preserve">longitudinal record </w:t>
      </w:r>
      <w:r w:rsidR="00861552">
        <w:rPr>
          <w:rFonts w:ascii="Times New Roman" w:hAnsi="Times New Roman" w:cs="Times New Roman"/>
          <w:sz w:val="24"/>
          <w:szCs w:val="24"/>
        </w:rPr>
        <w:t>of ICES scores (or equivalent teaching evaluations</w:t>
      </w:r>
      <w:r w:rsidR="00120743">
        <w:rPr>
          <w:rFonts w:ascii="Times New Roman" w:hAnsi="Times New Roman" w:cs="Times New Roman"/>
          <w:sz w:val="24"/>
          <w:szCs w:val="24"/>
        </w:rPr>
        <w:t>,</w:t>
      </w:r>
      <w:r w:rsidR="00861552">
        <w:rPr>
          <w:rFonts w:ascii="Times New Roman" w:hAnsi="Times New Roman" w:cs="Times New Roman"/>
          <w:sz w:val="24"/>
          <w:szCs w:val="24"/>
        </w:rPr>
        <w:t xml:space="preserve"> if coming from another institution).</w:t>
      </w:r>
    </w:p>
    <w:p w14:paraId="4FFE34CE" w14:textId="77777777" w:rsidR="00E21CE7" w:rsidRDefault="00A53009" w:rsidP="000E02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21CE7">
        <w:rPr>
          <w:rFonts w:ascii="Times New Roman" w:hAnsi="Times New Roman" w:cs="Times New Roman"/>
          <w:sz w:val="24"/>
          <w:szCs w:val="24"/>
        </w:rPr>
        <w:t>heir curriculum vitae.</w:t>
      </w:r>
    </w:p>
    <w:p w14:paraId="663CA4C4" w14:textId="3D0A4C1B" w:rsidR="00861552" w:rsidRDefault="00A53009" w:rsidP="000E02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61552">
        <w:rPr>
          <w:rFonts w:ascii="Times New Roman" w:hAnsi="Times New Roman" w:cs="Times New Roman"/>
          <w:sz w:val="24"/>
          <w:szCs w:val="24"/>
        </w:rPr>
        <w:t xml:space="preserve"> teaching statement that summarizes their teaching philosophy and teaching accomplishments, including contributions to the curriculum beyond one’s own classroom (no more than 3 pages</w:t>
      </w:r>
      <w:r w:rsidR="00783132">
        <w:rPr>
          <w:rFonts w:ascii="Times New Roman" w:hAnsi="Times New Roman" w:cs="Times New Roman"/>
          <w:sz w:val="24"/>
          <w:szCs w:val="24"/>
        </w:rPr>
        <w:t>,</w:t>
      </w:r>
      <w:r w:rsidR="00861552">
        <w:rPr>
          <w:rFonts w:ascii="Times New Roman" w:hAnsi="Times New Roman" w:cs="Times New Roman"/>
          <w:sz w:val="24"/>
          <w:szCs w:val="24"/>
        </w:rPr>
        <w:t xml:space="preserve"> single</w:t>
      </w:r>
      <w:r w:rsidR="00783132">
        <w:rPr>
          <w:rFonts w:ascii="Times New Roman" w:hAnsi="Times New Roman" w:cs="Times New Roman"/>
          <w:sz w:val="24"/>
          <w:szCs w:val="24"/>
        </w:rPr>
        <w:t>-</w:t>
      </w:r>
      <w:r w:rsidR="00861552">
        <w:rPr>
          <w:rFonts w:ascii="Times New Roman" w:hAnsi="Times New Roman" w:cs="Times New Roman"/>
          <w:sz w:val="24"/>
          <w:szCs w:val="24"/>
        </w:rPr>
        <w:t>spaced).</w:t>
      </w:r>
    </w:p>
    <w:p w14:paraId="3F89DC8D" w14:textId="4F167F79" w:rsidR="00861552" w:rsidRDefault="00A53009" w:rsidP="000E02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61552">
        <w:rPr>
          <w:rFonts w:ascii="Times New Roman" w:hAnsi="Times New Roman" w:cs="Times New Roman"/>
          <w:sz w:val="24"/>
          <w:szCs w:val="24"/>
        </w:rPr>
        <w:t>ample syllab</w:t>
      </w:r>
      <w:r w:rsidR="00783132">
        <w:rPr>
          <w:rFonts w:ascii="Times New Roman" w:hAnsi="Times New Roman" w:cs="Times New Roman"/>
          <w:sz w:val="24"/>
          <w:szCs w:val="24"/>
        </w:rPr>
        <w:t>i</w:t>
      </w:r>
      <w:r w:rsidR="00861552">
        <w:rPr>
          <w:rFonts w:ascii="Times New Roman" w:hAnsi="Times New Roman" w:cs="Times New Roman"/>
          <w:sz w:val="24"/>
          <w:szCs w:val="24"/>
        </w:rPr>
        <w:t>, assignments, and other teaching materials that provide evidence of the quality of their instruction.</w:t>
      </w:r>
    </w:p>
    <w:p w14:paraId="26DEF5E6" w14:textId="77777777" w:rsidR="00861552" w:rsidRDefault="00A53009" w:rsidP="000E02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61552" w:rsidRPr="00861552">
        <w:rPr>
          <w:rFonts w:ascii="Times New Roman" w:hAnsi="Times New Roman" w:cs="Times New Roman"/>
          <w:sz w:val="24"/>
          <w:szCs w:val="24"/>
        </w:rPr>
        <w:t xml:space="preserve"> research narrative that describes their current research agenda and plan for contributing scholarship that enhances the department and university and make</w:t>
      </w:r>
      <w:r w:rsidR="00E21CE7">
        <w:rPr>
          <w:rFonts w:ascii="Times New Roman" w:hAnsi="Times New Roman" w:cs="Times New Roman"/>
          <w:sz w:val="24"/>
          <w:szCs w:val="24"/>
        </w:rPr>
        <w:t>s</w:t>
      </w:r>
      <w:r w:rsidR="00861552" w:rsidRPr="00861552">
        <w:rPr>
          <w:rFonts w:ascii="Times New Roman" w:hAnsi="Times New Roman" w:cs="Times New Roman"/>
          <w:sz w:val="24"/>
          <w:szCs w:val="24"/>
        </w:rPr>
        <w:t xml:space="preserve"> an impact beyond the campus.</w:t>
      </w:r>
    </w:p>
    <w:p w14:paraId="1628151F" w14:textId="12781E93" w:rsidR="00E40255" w:rsidRDefault="00A53009" w:rsidP="00E315F9">
      <w:pPr>
        <w:pStyle w:val="ListParagraph"/>
        <w:numPr>
          <w:ilvl w:val="0"/>
          <w:numId w:val="3"/>
        </w:numPr>
        <w:spacing w:after="0" w:line="240" w:lineRule="auto"/>
        <w:rPr>
          <w:rFonts w:ascii="Times New Roman" w:hAnsi="Times New Roman" w:cs="Times New Roman"/>
          <w:sz w:val="24"/>
          <w:szCs w:val="24"/>
        </w:rPr>
      </w:pPr>
      <w:r w:rsidRPr="00F3042A">
        <w:rPr>
          <w:rFonts w:ascii="Times New Roman" w:hAnsi="Times New Roman" w:cs="Times New Roman"/>
          <w:sz w:val="24"/>
          <w:szCs w:val="24"/>
        </w:rPr>
        <w:t>C</w:t>
      </w:r>
      <w:r w:rsidR="004D44A2" w:rsidRPr="00F3042A">
        <w:rPr>
          <w:rFonts w:ascii="Times New Roman" w:hAnsi="Times New Roman" w:cs="Times New Roman"/>
          <w:sz w:val="24"/>
          <w:szCs w:val="24"/>
        </w:rPr>
        <w:t xml:space="preserve">opies of scholarly works (e.g., articles, conference papers) completed. </w:t>
      </w:r>
    </w:p>
    <w:p w14:paraId="7E4EF6CA" w14:textId="7E64B93F" w:rsidR="00893D5E" w:rsidRPr="00F3042A" w:rsidRDefault="00893D5E" w:rsidP="00E315F9">
      <w:pPr>
        <w:pStyle w:val="ListParagraph"/>
        <w:numPr>
          <w:ilvl w:val="0"/>
          <w:numId w:val="3"/>
        </w:numPr>
        <w:spacing w:after="0" w:line="240" w:lineRule="auto"/>
        <w:rPr>
          <w:rFonts w:ascii="Times New Roman" w:hAnsi="Times New Roman" w:cs="Times New Roman"/>
          <w:sz w:val="24"/>
          <w:szCs w:val="24"/>
        </w:rPr>
      </w:pPr>
      <w:r w:rsidRPr="00F3042A">
        <w:rPr>
          <w:rFonts w:ascii="Times New Roman" w:hAnsi="Times New Roman" w:cs="Times New Roman"/>
          <w:sz w:val="24"/>
          <w:szCs w:val="24"/>
        </w:rPr>
        <w:t>Three letters of reference that address the qualifications related to the position of teaching assistant professor.</w:t>
      </w:r>
      <w:r w:rsidR="00E40255">
        <w:rPr>
          <w:rFonts w:ascii="Times New Roman" w:hAnsi="Times New Roman" w:cs="Times New Roman"/>
          <w:sz w:val="24"/>
          <w:szCs w:val="24"/>
        </w:rPr>
        <w:t xml:space="preserve"> The strong preference is for at least two of the letters to come from individuals who have directly observed the </w:t>
      </w:r>
      <w:proofErr w:type="gramStart"/>
      <w:r w:rsidR="00E40255">
        <w:rPr>
          <w:rFonts w:ascii="Times New Roman" w:hAnsi="Times New Roman" w:cs="Times New Roman"/>
          <w:sz w:val="24"/>
          <w:szCs w:val="24"/>
        </w:rPr>
        <w:t>candidate’s</w:t>
      </w:r>
      <w:proofErr w:type="gramEnd"/>
      <w:r w:rsidR="00E40255">
        <w:rPr>
          <w:rFonts w:ascii="Times New Roman" w:hAnsi="Times New Roman" w:cs="Times New Roman"/>
          <w:sz w:val="24"/>
          <w:szCs w:val="24"/>
        </w:rPr>
        <w:t xml:space="preserve"> teaching.</w:t>
      </w:r>
      <w:r w:rsidRPr="00F3042A">
        <w:rPr>
          <w:rFonts w:ascii="Times New Roman" w:hAnsi="Times New Roman" w:cs="Times New Roman"/>
          <w:sz w:val="24"/>
          <w:szCs w:val="24"/>
        </w:rPr>
        <w:t xml:space="preserve"> </w:t>
      </w:r>
    </w:p>
    <w:p w14:paraId="2027507A" w14:textId="77777777" w:rsidR="00D10EDE" w:rsidRDefault="00D10EDE" w:rsidP="000E02FC">
      <w:pPr>
        <w:spacing w:after="0" w:line="240" w:lineRule="auto"/>
        <w:rPr>
          <w:rFonts w:ascii="Times New Roman" w:hAnsi="Times New Roman" w:cs="Times New Roman"/>
          <w:sz w:val="24"/>
          <w:szCs w:val="24"/>
        </w:rPr>
      </w:pPr>
    </w:p>
    <w:p w14:paraId="1F470AC0" w14:textId="77777777" w:rsidR="00A53009" w:rsidRPr="00A53009" w:rsidRDefault="00A53009" w:rsidP="005E656E">
      <w:pPr>
        <w:spacing w:after="0" w:line="240" w:lineRule="auto"/>
        <w:outlineLvl w:val="0"/>
        <w:rPr>
          <w:rFonts w:ascii="Times New Roman" w:hAnsi="Times New Roman" w:cs="Times New Roman"/>
          <w:b/>
          <w:i/>
          <w:sz w:val="24"/>
          <w:szCs w:val="24"/>
        </w:rPr>
      </w:pPr>
      <w:r>
        <w:rPr>
          <w:rFonts w:ascii="Times New Roman" w:hAnsi="Times New Roman" w:cs="Times New Roman"/>
          <w:b/>
          <w:i/>
          <w:sz w:val="24"/>
          <w:szCs w:val="24"/>
        </w:rPr>
        <w:t>Promotions within the Teaching Professor Ranks</w:t>
      </w:r>
    </w:p>
    <w:p w14:paraId="03742499" w14:textId="6C7C06C0" w:rsidR="00A53009" w:rsidRDefault="00A53009" w:rsidP="000E02F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All promotion cases within the teaching professor ranks will be evaluated at the department level by the </w:t>
      </w:r>
      <w:r w:rsidR="0037667D">
        <w:rPr>
          <w:rFonts w:ascii="Times New Roman" w:hAnsi="Times New Roman" w:cs="Times New Roman"/>
          <w:sz w:val="24"/>
          <w:szCs w:val="24"/>
        </w:rPr>
        <w:t>Advisory</w:t>
      </w:r>
      <w:r w:rsidR="0037667D" w:rsidRPr="00211C0E">
        <w:rPr>
          <w:rFonts w:ascii="Times New Roman" w:hAnsi="Times New Roman" w:cs="Times New Roman"/>
          <w:sz w:val="24"/>
          <w:szCs w:val="24"/>
        </w:rPr>
        <w:t xml:space="preserve"> </w:t>
      </w:r>
      <w:r w:rsidRPr="00211C0E">
        <w:rPr>
          <w:rFonts w:ascii="Times New Roman" w:hAnsi="Times New Roman" w:cs="Times New Roman"/>
          <w:sz w:val="24"/>
          <w:szCs w:val="24"/>
        </w:rPr>
        <w:t>Committee</w:t>
      </w:r>
      <w:proofErr w:type="gramEnd"/>
      <w:r>
        <w:rPr>
          <w:rFonts w:ascii="Times New Roman" w:hAnsi="Times New Roman" w:cs="Times New Roman"/>
          <w:sz w:val="24"/>
          <w:szCs w:val="24"/>
        </w:rPr>
        <w:t xml:space="preserve">. Information for evaluation beyond the department level </w:t>
      </w:r>
      <w:proofErr w:type="gramStart"/>
      <w:r>
        <w:rPr>
          <w:rFonts w:ascii="Times New Roman" w:hAnsi="Times New Roman" w:cs="Times New Roman"/>
          <w:sz w:val="24"/>
          <w:szCs w:val="24"/>
        </w:rPr>
        <w:t>can be found</w:t>
      </w:r>
      <w:proofErr w:type="gramEnd"/>
      <w:r>
        <w:rPr>
          <w:rFonts w:ascii="Times New Roman" w:hAnsi="Times New Roman" w:cs="Times New Roman"/>
          <w:sz w:val="24"/>
          <w:szCs w:val="24"/>
        </w:rPr>
        <w:t xml:space="preserve"> </w:t>
      </w:r>
      <w:r w:rsidR="00CB5E29">
        <w:rPr>
          <w:rFonts w:ascii="Times New Roman" w:hAnsi="Times New Roman" w:cs="Times New Roman"/>
          <w:sz w:val="24"/>
          <w:szCs w:val="24"/>
        </w:rPr>
        <w:t xml:space="preserve">in Section 3.6 of the </w:t>
      </w:r>
      <w:r w:rsidR="00CB5E29" w:rsidRPr="00CB5E29">
        <w:rPr>
          <w:rFonts w:ascii="Times New Roman" w:hAnsi="Times New Roman" w:cs="Times New Roman"/>
          <w:sz w:val="24"/>
          <w:szCs w:val="24"/>
        </w:rPr>
        <w:t>Policy Manual for Faculty of the College of LAS</w:t>
      </w:r>
      <w:r w:rsidR="00CB5E29">
        <w:rPr>
          <w:rFonts w:ascii="Times New Roman" w:hAnsi="Times New Roman" w:cs="Times New Roman"/>
          <w:sz w:val="24"/>
          <w:szCs w:val="24"/>
        </w:rPr>
        <w:t xml:space="preserve"> and beyond the College level </w:t>
      </w:r>
      <w:r>
        <w:rPr>
          <w:rFonts w:ascii="Times New Roman" w:hAnsi="Times New Roman" w:cs="Times New Roman"/>
          <w:sz w:val="24"/>
          <w:szCs w:val="24"/>
        </w:rPr>
        <w:t xml:space="preserve">in Provost Communication 26. </w:t>
      </w:r>
      <w:r w:rsidR="00ED172C" w:rsidRPr="00ED172C">
        <w:rPr>
          <w:rFonts w:ascii="Times New Roman" w:hAnsi="Times New Roman" w:cs="Times New Roman"/>
          <w:sz w:val="24"/>
          <w:szCs w:val="24"/>
        </w:rPr>
        <w:t xml:space="preserve">To be eligible for a promotion, the College of Liberal Arts and Sciences normally requires a minimum of 5 years in the current position.  Exceptions </w:t>
      </w:r>
      <w:proofErr w:type="gramStart"/>
      <w:r w:rsidR="00ED172C" w:rsidRPr="00ED172C">
        <w:rPr>
          <w:rFonts w:ascii="Times New Roman" w:hAnsi="Times New Roman" w:cs="Times New Roman"/>
          <w:sz w:val="24"/>
          <w:szCs w:val="24"/>
        </w:rPr>
        <w:t>can be made</w:t>
      </w:r>
      <w:proofErr w:type="gramEnd"/>
      <w:r w:rsidR="00ED172C" w:rsidRPr="00ED172C">
        <w:rPr>
          <w:rFonts w:ascii="Times New Roman" w:hAnsi="Times New Roman" w:cs="Times New Roman"/>
          <w:sz w:val="24"/>
          <w:szCs w:val="24"/>
        </w:rPr>
        <w:t xml:space="preserve"> with appropriate justification.</w:t>
      </w:r>
    </w:p>
    <w:p w14:paraId="19ACA194" w14:textId="77777777" w:rsidR="00A53009" w:rsidRDefault="00A53009" w:rsidP="000E02FC">
      <w:pPr>
        <w:spacing w:after="0" w:line="240" w:lineRule="auto"/>
        <w:rPr>
          <w:rFonts w:ascii="Times New Roman" w:hAnsi="Times New Roman" w:cs="Times New Roman"/>
          <w:sz w:val="24"/>
          <w:szCs w:val="24"/>
        </w:rPr>
      </w:pPr>
    </w:p>
    <w:p w14:paraId="16AA60F9" w14:textId="4CAC0581" w:rsidR="00893D5E" w:rsidRDefault="00E21CE7" w:rsidP="000E02F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Candidates for </w:t>
      </w:r>
      <w:r w:rsidRPr="00A53009">
        <w:rPr>
          <w:rFonts w:ascii="Times New Roman" w:hAnsi="Times New Roman" w:cs="Times New Roman"/>
          <w:i/>
          <w:sz w:val="24"/>
          <w:szCs w:val="24"/>
        </w:rPr>
        <w:t>teaching associate professor</w:t>
      </w:r>
      <w:r>
        <w:rPr>
          <w:rFonts w:ascii="Times New Roman" w:hAnsi="Times New Roman" w:cs="Times New Roman"/>
          <w:i/>
          <w:sz w:val="24"/>
          <w:szCs w:val="24"/>
        </w:rPr>
        <w:t xml:space="preserve"> </w:t>
      </w:r>
      <w:r>
        <w:rPr>
          <w:rFonts w:ascii="Times New Roman" w:hAnsi="Times New Roman" w:cs="Times New Roman"/>
          <w:sz w:val="24"/>
          <w:szCs w:val="24"/>
        </w:rPr>
        <w:t>must demonstrate that they are excellent teachers and that they have made a substantial “</w:t>
      </w:r>
      <w:r w:rsidRPr="0012577C">
        <w:rPr>
          <w:rFonts w:ascii="Times New Roman" w:hAnsi="Times New Roman" w:cs="Times New Roman"/>
          <w:sz w:val="24"/>
          <w:szCs w:val="24"/>
        </w:rPr>
        <w:t>instructional</w:t>
      </w:r>
      <w:r>
        <w:rPr>
          <w:rFonts w:ascii="Times New Roman" w:hAnsi="Times New Roman" w:cs="Times New Roman"/>
          <w:sz w:val="24"/>
          <w:szCs w:val="24"/>
        </w:rPr>
        <w:t xml:space="preserve"> </w:t>
      </w:r>
      <w:r w:rsidRPr="0012577C">
        <w:rPr>
          <w:rFonts w:ascii="Times New Roman" w:hAnsi="Times New Roman" w:cs="Times New Roman"/>
          <w:sz w:val="24"/>
          <w:szCs w:val="24"/>
        </w:rPr>
        <w:t>impact both</w:t>
      </w:r>
      <w:r>
        <w:rPr>
          <w:rFonts w:ascii="Times New Roman" w:hAnsi="Times New Roman" w:cs="Times New Roman"/>
          <w:sz w:val="24"/>
          <w:szCs w:val="24"/>
        </w:rPr>
        <w:t xml:space="preserve"> </w:t>
      </w:r>
      <w:r w:rsidRPr="0012577C">
        <w:rPr>
          <w:rFonts w:ascii="Times New Roman" w:hAnsi="Times New Roman" w:cs="Times New Roman"/>
          <w:sz w:val="24"/>
          <w:szCs w:val="24"/>
        </w:rPr>
        <w:t>within the department</w:t>
      </w:r>
      <w:r>
        <w:rPr>
          <w:rFonts w:ascii="Times New Roman" w:hAnsi="Times New Roman" w:cs="Times New Roman"/>
          <w:sz w:val="24"/>
          <w:szCs w:val="24"/>
        </w:rPr>
        <w:t xml:space="preserve"> </w:t>
      </w:r>
      <w:r w:rsidRPr="0012577C">
        <w:rPr>
          <w:rFonts w:ascii="Times New Roman" w:hAnsi="Times New Roman" w:cs="Times New Roman"/>
          <w:sz w:val="24"/>
          <w:szCs w:val="24"/>
        </w:rPr>
        <w:t>and</w:t>
      </w:r>
      <w:r>
        <w:rPr>
          <w:rFonts w:ascii="Times New Roman" w:hAnsi="Times New Roman" w:cs="Times New Roman"/>
          <w:sz w:val="24"/>
          <w:szCs w:val="24"/>
        </w:rPr>
        <w:t xml:space="preserve"> </w:t>
      </w:r>
      <w:r w:rsidRPr="0012577C">
        <w:rPr>
          <w:rFonts w:ascii="Times New Roman" w:hAnsi="Times New Roman" w:cs="Times New Roman"/>
          <w:sz w:val="24"/>
          <w:szCs w:val="24"/>
        </w:rPr>
        <w:t>beyond</w:t>
      </w:r>
      <w:r>
        <w:rPr>
          <w:rFonts w:ascii="Times New Roman" w:hAnsi="Times New Roman" w:cs="Times New Roman"/>
          <w:sz w:val="24"/>
          <w:szCs w:val="24"/>
        </w:rPr>
        <w:t xml:space="preserve">.” </w:t>
      </w:r>
      <w:r w:rsidR="0070693A">
        <w:rPr>
          <w:rFonts w:ascii="Times New Roman" w:hAnsi="Times New Roman" w:cs="Times New Roman"/>
          <w:sz w:val="24"/>
          <w:szCs w:val="24"/>
        </w:rPr>
        <w:t xml:space="preserve">According to Provost Communication 26, teaching associate professors must </w:t>
      </w:r>
      <w:r w:rsidR="0070693A" w:rsidRPr="0070693A">
        <w:rPr>
          <w:rFonts w:ascii="Times New Roman" w:hAnsi="Times New Roman" w:cs="Times New Roman"/>
          <w:sz w:val="24"/>
          <w:szCs w:val="24"/>
        </w:rPr>
        <w:t>“</w:t>
      </w:r>
      <w:r w:rsidR="0070693A" w:rsidRPr="0070693A">
        <w:rPr>
          <w:rFonts w:ascii="Times New Roman" w:eastAsia="Times New Roman" w:hAnsi="Times New Roman" w:cs="Times New Roman"/>
          <w:sz w:val="24"/>
          <w:szCs w:val="24"/>
        </w:rPr>
        <w:t xml:space="preserve">be able to demonstrate instructional contributions to the college, campus, and broader discipline, or, if this is to be the person’s first appointment on campus, have a proven record of making such contributions.” </w:t>
      </w:r>
      <w:r w:rsidR="00893D5E">
        <w:rPr>
          <w:rFonts w:ascii="Times New Roman" w:eastAsia="Times New Roman" w:hAnsi="Times New Roman" w:cs="Times New Roman"/>
          <w:sz w:val="24"/>
          <w:szCs w:val="24"/>
        </w:rPr>
        <w:t>Evidence of instructional co</w:t>
      </w:r>
      <w:r w:rsidR="00ED172C">
        <w:rPr>
          <w:rFonts w:ascii="Times New Roman" w:eastAsia="Times New Roman" w:hAnsi="Times New Roman" w:cs="Times New Roman"/>
          <w:sz w:val="24"/>
          <w:szCs w:val="24"/>
        </w:rPr>
        <w:t xml:space="preserve">ntributions should document activities such as </w:t>
      </w:r>
      <w:r w:rsidR="00ED172C" w:rsidRPr="00ED172C">
        <w:rPr>
          <w:rFonts w:ascii="Times New Roman" w:eastAsia="Times New Roman" w:hAnsi="Times New Roman" w:cs="Times New Roman"/>
          <w:sz w:val="24"/>
          <w:szCs w:val="24"/>
        </w:rPr>
        <w:t>(a) supervising multi-section courses; (b) training and supervising teaching assistants, instructors, or other lecturers; (c) developing new courses or making improvements to the curriculum; (d) demonstrably improving the way an existing course is structured or taught, and (e) directing internship programs.</w:t>
      </w:r>
    </w:p>
    <w:p w14:paraId="1CE4B10F" w14:textId="77777777" w:rsidR="00893D5E" w:rsidRDefault="00893D5E" w:rsidP="000E02FC">
      <w:pPr>
        <w:spacing w:after="0" w:line="240" w:lineRule="auto"/>
        <w:rPr>
          <w:rFonts w:ascii="Times New Roman" w:eastAsia="Times New Roman" w:hAnsi="Times New Roman" w:cs="Times New Roman"/>
          <w:sz w:val="24"/>
          <w:szCs w:val="24"/>
        </w:rPr>
      </w:pPr>
    </w:p>
    <w:p w14:paraId="0EBF73C0" w14:textId="28BB7DEF" w:rsidR="0070693A" w:rsidRDefault="00694212" w:rsidP="005E656E">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Promotion to teaching associate professor will come with a salary increase</w:t>
      </w:r>
      <w:r w:rsidR="005670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1C83D14" w14:textId="77777777" w:rsidR="000E02FC" w:rsidRPr="0070693A" w:rsidRDefault="000E02FC" w:rsidP="000E02FC">
      <w:pPr>
        <w:spacing w:after="0" w:line="240" w:lineRule="auto"/>
        <w:rPr>
          <w:rFonts w:ascii="Times New Roman" w:eastAsia="Times New Roman" w:hAnsi="Times New Roman" w:cs="Times New Roman"/>
          <w:sz w:val="24"/>
          <w:szCs w:val="24"/>
        </w:rPr>
      </w:pPr>
    </w:p>
    <w:p w14:paraId="59DC082C" w14:textId="3BDAF58B" w:rsidR="0070693A" w:rsidRPr="0070693A" w:rsidRDefault="00E21CE7"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Candidates for </w:t>
      </w:r>
      <w:r w:rsidRPr="00A53009">
        <w:rPr>
          <w:rFonts w:ascii="Times New Roman" w:hAnsi="Times New Roman" w:cs="Times New Roman"/>
          <w:i/>
          <w:sz w:val="24"/>
          <w:szCs w:val="24"/>
        </w:rPr>
        <w:t>teaching full professor</w:t>
      </w:r>
      <w:r>
        <w:rPr>
          <w:rFonts w:ascii="Times New Roman" w:hAnsi="Times New Roman" w:cs="Times New Roman"/>
          <w:sz w:val="24"/>
          <w:szCs w:val="24"/>
        </w:rPr>
        <w:t xml:space="preserve"> must meet the same criteria as teaching associate professors and must demon</w:t>
      </w:r>
      <w:r w:rsidR="00674D80">
        <w:rPr>
          <w:rFonts w:ascii="Times New Roman" w:hAnsi="Times New Roman" w:cs="Times New Roman"/>
          <w:sz w:val="24"/>
          <w:szCs w:val="24"/>
        </w:rPr>
        <w:t xml:space="preserve">strate that they have made a significant impact beyond what </w:t>
      </w:r>
      <w:proofErr w:type="gramStart"/>
      <w:r w:rsidR="00674D80">
        <w:rPr>
          <w:rFonts w:ascii="Times New Roman" w:hAnsi="Times New Roman" w:cs="Times New Roman"/>
          <w:sz w:val="24"/>
          <w:szCs w:val="24"/>
        </w:rPr>
        <w:t>would be expected</w:t>
      </w:r>
      <w:proofErr w:type="gramEnd"/>
      <w:r w:rsidR="00674D80">
        <w:rPr>
          <w:rFonts w:ascii="Times New Roman" w:hAnsi="Times New Roman" w:cs="Times New Roman"/>
          <w:sz w:val="24"/>
          <w:szCs w:val="24"/>
        </w:rPr>
        <w:t xml:space="preserve"> for the associate level. </w:t>
      </w:r>
      <w:r w:rsidR="0070693A">
        <w:rPr>
          <w:rFonts w:ascii="Times New Roman" w:hAnsi="Times New Roman" w:cs="Times New Roman"/>
          <w:sz w:val="24"/>
          <w:szCs w:val="24"/>
        </w:rPr>
        <w:t>As stated in Provost Communication 26, “</w:t>
      </w:r>
      <w:r w:rsidR="0070693A" w:rsidRPr="0070693A">
        <w:rPr>
          <w:rFonts w:ascii="Times New Roman" w:hAnsi="Times New Roman" w:cs="Times New Roman"/>
          <w:sz w:val="24"/>
          <w:szCs w:val="24"/>
        </w:rPr>
        <w:t>Promotion to the rank of</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full</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teaching professor should be based on a fulfilled promise of quality</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teaching and</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pedagogy, including making advancements in teaching and learning in the discipline</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that led to</w:t>
      </w:r>
      <w:r w:rsidR="0070693A">
        <w:rPr>
          <w:rFonts w:ascii="Times New Roman" w:hAnsi="Times New Roman" w:cs="Times New Roman"/>
          <w:sz w:val="24"/>
          <w:szCs w:val="24"/>
        </w:rPr>
        <w:t xml:space="preserve"> i</w:t>
      </w:r>
      <w:r w:rsidR="0070693A" w:rsidRPr="0070693A">
        <w:rPr>
          <w:rFonts w:ascii="Times New Roman" w:hAnsi="Times New Roman" w:cs="Times New Roman"/>
          <w:sz w:val="24"/>
          <w:szCs w:val="24"/>
        </w:rPr>
        <w:t>nnovative</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strategies and marked course improvement.</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At this level, a teaching</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professor</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should</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be</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making broader</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contributions</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to pedagogy, often by sharing creative and</w:t>
      </w:r>
      <w:r w:rsidR="0070693A">
        <w:rPr>
          <w:rFonts w:ascii="Times New Roman" w:hAnsi="Times New Roman" w:cs="Times New Roman"/>
          <w:sz w:val="24"/>
          <w:szCs w:val="24"/>
        </w:rPr>
        <w:t xml:space="preserve"> </w:t>
      </w:r>
      <w:r w:rsidR="0070693A" w:rsidRPr="0070693A">
        <w:rPr>
          <w:rFonts w:ascii="Times New Roman" w:hAnsi="Times New Roman" w:cs="Times New Roman"/>
          <w:sz w:val="24"/>
          <w:szCs w:val="24"/>
        </w:rPr>
        <w:t>scholarly work at conferences and in publications</w:t>
      </w:r>
      <w:r w:rsidR="0070693A">
        <w:rPr>
          <w:rFonts w:ascii="Times New Roman" w:hAnsi="Times New Roman" w:cs="Times New Roman"/>
          <w:sz w:val="24"/>
          <w:szCs w:val="24"/>
        </w:rPr>
        <w:t>.”</w:t>
      </w:r>
      <w:r w:rsidR="00694212">
        <w:rPr>
          <w:rFonts w:ascii="Times New Roman" w:hAnsi="Times New Roman" w:cs="Times New Roman"/>
          <w:sz w:val="24"/>
          <w:szCs w:val="24"/>
        </w:rPr>
        <w:t xml:space="preserve"> </w:t>
      </w:r>
      <w:r w:rsidR="00694212">
        <w:rPr>
          <w:rFonts w:ascii="Times New Roman" w:eastAsia="Times New Roman" w:hAnsi="Times New Roman" w:cs="Times New Roman"/>
          <w:sz w:val="24"/>
          <w:szCs w:val="24"/>
        </w:rPr>
        <w:t>Promotion to teaching full professor will come with a salary increase.</w:t>
      </w:r>
    </w:p>
    <w:p w14:paraId="69326D01" w14:textId="77777777" w:rsidR="00E21CE7" w:rsidRDefault="00E21CE7" w:rsidP="000E02FC">
      <w:pPr>
        <w:spacing w:after="0" w:line="240" w:lineRule="auto"/>
        <w:rPr>
          <w:rFonts w:ascii="Times New Roman" w:hAnsi="Times New Roman" w:cs="Times New Roman"/>
          <w:sz w:val="24"/>
          <w:szCs w:val="24"/>
        </w:rPr>
      </w:pPr>
    </w:p>
    <w:p w14:paraId="4E8CA437" w14:textId="77777777" w:rsidR="00E21CE7" w:rsidRDefault="00E21CE7"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for appointment </w:t>
      </w:r>
      <w:r w:rsidR="00674D80">
        <w:rPr>
          <w:rFonts w:ascii="Times New Roman" w:hAnsi="Times New Roman" w:cs="Times New Roman"/>
          <w:sz w:val="24"/>
          <w:szCs w:val="24"/>
        </w:rPr>
        <w:t xml:space="preserve">as, or promotion to, </w:t>
      </w:r>
      <w:r>
        <w:rPr>
          <w:rFonts w:ascii="Times New Roman" w:hAnsi="Times New Roman" w:cs="Times New Roman"/>
          <w:sz w:val="24"/>
          <w:szCs w:val="24"/>
        </w:rPr>
        <w:t xml:space="preserve">teaching </w:t>
      </w:r>
      <w:r w:rsidR="00674D80">
        <w:rPr>
          <w:rFonts w:ascii="Times New Roman" w:hAnsi="Times New Roman" w:cs="Times New Roman"/>
          <w:sz w:val="24"/>
          <w:szCs w:val="24"/>
        </w:rPr>
        <w:t>associate</w:t>
      </w:r>
      <w:r>
        <w:rPr>
          <w:rFonts w:ascii="Times New Roman" w:hAnsi="Times New Roman" w:cs="Times New Roman"/>
          <w:sz w:val="24"/>
          <w:szCs w:val="24"/>
        </w:rPr>
        <w:t xml:space="preserve"> professor</w:t>
      </w:r>
      <w:r w:rsidR="00674D80">
        <w:rPr>
          <w:rFonts w:ascii="Times New Roman" w:hAnsi="Times New Roman" w:cs="Times New Roman"/>
          <w:sz w:val="24"/>
          <w:szCs w:val="24"/>
        </w:rPr>
        <w:t xml:space="preserve"> or teaching full professor</w:t>
      </w:r>
      <w:r>
        <w:rPr>
          <w:rFonts w:ascii="Times New Roman" w:hAnsi="Times New Roman" w:cs="Times New Roman"/>
          <w:sz w:val="24"/>
          <w:szCs w:val="24"/>
        </w:rPr>
        <w:t>, candidates must</w:t>
      </w:r>
      <w:r w:rsidR="004D44A2">
        <w:rPr>
          <w:rFonts w:ascii="Times New Roman" w:hAnsi="Times New Roman" w:cs="Times New Roman"/>
          <w:sz w:val="24"/>
          <w:szCs w:val="24"/>
        </w:rPr>
        <w:t xml:space="preserve"> submit:</w:t>
      </w:r>
    </w:p>
    <w:p w14:paraId="0484BE8E" w14:textId="58C46C29" w:rsidR="00E21CE7" w:rsidRDefault="004D44A2" w:rsidP="000E02F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21CE7">
        <w:rPr>
          <w:rFonts w:ascii="Times New Roman" w:hAnsi="Times New Roman" w:cs="Times New Roman"/>
          <w:sz w:val="24"/>
          <w:szCs w:val="24"/>
        </w:rPr>
        <w:t xml:space="preserve"> complete </w:t>
      </w:r>
      <w:r w:rsidR="00124A57">
        <w:rPr>
          <w:rFonts w:ascii="Times New Roman" w:hAnsi="Times New Roman" w:cs="Times New Roman"/>
          <w:sz w:val="24"/>
          <w:szCs w:val="24"/>
        </w:rPr>
        <w:t xml:space="preserve">longitudinal record </w:t>
      </w:r>
      <w:r w:rsidR="00E21CE7">
        <w:rPr>
          <w:rFonts w:ascii="Times New Roman" w:hAnsi="Times New Roman" w:cs="Times New Roman"/>
          <w:sz w:val="24"/>
          <w:szCs w:val="24"/>
        </w:rPr>
        <w:t>of ICES scores (or equivalent teaching evaluations</w:t>
      </w:r>
      <w:r w:rsidR="00120743">
        <w:rPr>
          <w:rFonts w:ascii="Times New Roman" w:hAnsi="Times New Roman" w:cs="Times New Roman"/>
          <w:sz w:val="24"/>
          <w:szCs w:val="24"/>
        </w:rPr>
        <w:t>,</w:t>
      </w:r>
      <w:r w:rsidR="00E21CE7">
        <w:rPr>
          <w:rFonts w:ascii="Times New Roman" w:hAnsi="Times New Roman" w:cs="Times New Roman"/>
          <w:sz w:val="24"/>
          <w:szCs w:val="24"/>
        </w:rPr>
        <w:t xml:space="preserve"> if coming from another institution).</w:t>
      </w:r>
    </w:p>
    <w:p w14:paraId="738F08A0" w14:textId="77777777" w:rsidR="00674D80" w:rsidRDefault="004D44A2" w:rsidP="000E02F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74D80">
        <w:rPr>
          <w:rFonts w:ascii="Times New Roman" w:hAnsi="Times New Roman" w:cs="Times New Roman"/>
          <w:sz w:val="24"/>
          <w:szCs w:val="24"/>
        </w:rPr>
        <w:t>heir curriculum vitae.</w:t>
      </w:r>
    </w:p>
    <w:p w14:paraId="419CF978" w14:textId="77777777" w:rsidR="00E21CE7" w:rsidRDefault="004D44A2" w:rsidP="000E02F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21CE7">
        <w:rPr>
          <w:rFonts w:ascii="Times New Roman" w:hAnsi="Times New Roman" w:cs="Times New Roman"/>
          <w:sz w:val="24"/>
          <w:szCs w:val="24"/>
        </w:rPr>
        <w:t xml:space="preserve"> teaching statement that summarizes their teaching philosophy and teaching accomplishments, including contributions to the curriculum beyond one’s own classroom (no more than 3 pages single spaced).</w:t>
      </w:r>
    </w:p>
    <w:p w14:paraId="3E1B4543" w14:textId="6040CCFA" w:rsidR="00E21CE7" w:rsidRDefault="004D44A2" w:rsidP="000E02F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E21CE7">
        <w:rPr>
          <w:rFonts w:ascii="Times New Roman" w:hAnsi="Times New Roman" w:cs="Times New Roman"/>
          <w:sz w:val="24"/>
          <w:szCs w:val="24"/>
        </w:rPr>
        <w:t xml:space="preserve">ample </w:t>
      </w:r>
      <w:r w:rsidR="002A35F7">
        <w:rPr>
          <w:rFonts w:ascii="Times New Roman" w:hAnsi="Times New Roman" w:cs="Times New Roman"/>
          <w:sz w:val="24"/>
          <w:szCs w:val="24"/>
        </w:rPr>
        <w:t>syllabi</w:t>
      </w:r>
      <w:r w:rsidR="00E21CE7">
        <w:rPr>
          <w:rFonts w:ascii="Times New Roman" w:hAnsi="Times New Roman" w:cs="Times New Roman"/>
          <w:sz w:val="24"/>
          <w:szCs w:val="24"/>
        </w:rPr>
        <w:t>, assignments, and other teaching materials that provide evidence of the quality of their instruction.</w:t>
      </w:r>
    </w:p>
    <w:p w14:paraId="373CFEEC" w14:textId="77777777" w:rsidR="00E21CE7" w:rsidRDefault="004D44A2" w:rsidP="000E02F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21CE7" w:rsidRPr="00861552">
        <w:rPr>
          <w:rFonts w:ascii="Times New Roman" w:hAnsi="Times New Roman" w:cs="Times New Roman"/>
          <w:sz w:val="24"/>
          <w:szCs w:val="24"/>
        </w:rPr>
        <w:t xml:space="preserve"> research narrative that describes their current research agenda and plan for contributing scholarship that enhances the department and university and make an impact beyond the campus.</w:t>
      </w:r>
    </w:p>
    <w:p w14:paraId="3A0C6692" w14:textId="77777777" w:rsidR="004D44A2" w:rsidRDefault="00D10EDE" w:rsidP="000E02F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D44A2">
        <w:rPr>
          <w:rFonts w:ascii="Times New Roman" w:hAnsi="Times New Roman" w:cs="Times New Roman"/>
          <w:sz w:val="24"/>
          <w:szCs w:val="24"/>
        </w:rPr>
        <w:t xml:space="preserve">opies of scholarly works (e.g., articles, conference papers) completed since their last promotion. </w:t>
      </w:r>
    </w:p>
    <w:p w14:paraId="08C7C9C8" w14:textId="77777777" w:rsidR="00D10EDE" w:rsidRDefault="00D10EDE" w:rsidP="000E02FC">
      <w:pPr>
        <w:spacing w:after="0" w:line="240" w:lineRule="auto"/>
        <w:rPr>
          <w:rFonts w:ascii="Times New Roman" w:hAnsi="Times New Roman" w:cs="Times New Roman"/>
          <w:sz w:val="24"/>
          <w:szCs w:val="24"/>
        </w:rPr>
      </w:pPr>
    </w:p>
    <w:p w14:paraId="2A2B5939" w14:textId="202573A8" w:rsidR="00E21CE7" w:rsidRDefault="00E40255" w:rsidP="00E315F9">
      <w:pPr>
        <w:spacing w:after="0" w:line="240" w:lineRule="auto"/>
        <w:rPr>
          <w:rFonts w:ascii="Times New Roman" w:hAnsi="Times New Roman" w:cs="Times New Roman"/>
          <w:sz w:val="24"/>
          <w:szCs w:val="24"/>
        </w:rPr>
      </w:pPr>
      <w:r>
        <w:rPr>
          <w:rFonts w:ascii="Times New Roman" w:hAnsi="Times New Roman" w:cs="Times New Roman"/>
          <w:sz w:val="24"/>
          <w:szCs w:val="24"/>
        </w:rPr>
        <w:t>Additionally, a</w:t>
      </w:r>
      <w:r w:rsidR="00D10EDE">
        <w:rPr>
          <w:rFonts w:ascii="Times New Roman" w:hAnsi="Times New Roman" w:cs="Times New Roman"/>
          <w:sz w:val="24"/>
          <w:szCs w:val="24"/>
        </w:rPr>
        <w:t xml:space="preserve">s part of the review process, </w:t>
      </w:r>
      <w:r>
        <w:rPr>
          <w:rFonts w:ascii="Times New Roman" w:hAnsi="Times New Roman" w:cs="Times New Roman"/>
          <w:sz w:val="24"/>
          <w:szCs w:val="24"/>
        </w:rPr>
        <w:t xml:space="preserve">two senior faculty members will observe and evaluate </w:t>
      </w:r>
      <w:r w:rsidR="00D10EDE">
        <w:rPr>
          <w:rFonts w:ascii="Times New Roman" w:hAnsi="Times New Roman" w:cs="Times New Roman"/>
          <w:sz w:val="24"/>
          <w:szCs w:val="24"/>
        </w:rPr>
        <w:t xml:space="preserve">faculty </w:t>
      </w:r>
      <w:r>
        <w:rPr>
          <w:rFonts w:ascii="Times New Roman" w:hAnsi="Times New Roman" w:cs="Times New Roman"/>
          <w:sz w:val="24"/>
          <w:szCs w:val="24"/>
        </w:rPr>
        <w:t xml:space="preserve">currently at Illinois who are seeking promotion within the teaching professor ranks. The faculty evaluators will prepare an assessment of the candidate’s teaching based on both direct observation of teaching and a review of the </w:t>
      </w:r>
      <w:proofErr w:type="gramStart"/>
      <w:r>
        <w:rPr>
          <w:rFonts w:ascii="Times New Roman" w:hAnsi="Times New Roman" w:cs="Times New Roman"/>
          <w:sz w:val="24"/>
          <w:szCs w:val="24"/>
        </w:rPr>
        <w:t>candidate’s</w:t>
      </w:r>
      <w:proofErr w:type="gramEnd"/>
      <w:r>
        <w:rPr>
          <w:rFonts w:ascii="Times New Roman" w:hAnsi="Times New Roman" w:cs="Times New Roman"/>
          <w:sz w:val="24"/>
          <w:szCs w:val="24"/>
        </w:rPr>
        <w:t xml:space="preserve"> teaching materials (e.g., syllabi, assignments). </w:t>
      </w:r>
    </w:p>
    <w:p w14:paraId="5C0AB280" w14:textId="77777777" w:rsidR="000E02FC" w:rsidRDefault="000E02FC" w:rsidP="000E02FC">
      <w:pPr>
        <w:spacing w:after="0" w:line="240" w:lineRule="auto"/>
        <w:rPr>
          <w:rFonts w:ascii="Times New Roman" w:hAnsi="Times New Roman" w:cs="Times New Roman"/>
          <w:sz w:val="24"/>
          <w:szCs w:val="24"/>
        </w:rPr>
      </w:pPr>
    </w:p>
    <w:p w14:paraId="216ECDB1" w14:textId="1719F020" w:rsidR="000E02FC" w:rsidRPr="000E02FC" w:rsidRDefault="000E02FC"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Individuals not currently teaching at Illinois </w:t>
      </w:r>
      <w:proofErr w:type="gramStart"/>
      <w:r>
        <w:rPr>
          <w:rFonts w:ascii="Times New Roman" w:hAnsi="Times New Roman" w:cs="Times New Roman"/>
          <w:sz w:val="24"/>
          <w:szCs w:val="24"/>
        </w:rPr>
        <w:t>cannot be observed</w:t>
      </w:r>
      <w:proofErr w:type="gramEnd"/>
      <w:r>
        <w:rPr>
          <w:rFonts w:ascii="Times New Roman" w:hAnsi="Times New Roman" w:cs="Times New Roman"/>
          <w:sz w:val="24"/>
          <w:szCs w:val="24"/>
        </w:rPr>
        <w:t xml:space="preserve">, but instead must ask that at least three letters of reference </w:t>
      </w:r>
      <w:r w:rsidR="00DB07DA">
        <w:rPr>
          <w:rFonts w:ascii="Times New Roman" w:hAnsi="Times New Roman" w:cs="Times New Roman"/>
          <w:sz w:val="24"/>
          <w:szCs w:val="24"/>
        </w:rPr>
        <w:t>be</w:t>
      </w:r>
      <w:r>
        <w:rPr>
          <w:rFonts w:ascii="Times New Roman" w:hAnsi="Times New Roman" w:cs="Times New Roman"/>
          <w:sz w:val="24"/>
          <w:szCs w:val="24"/>
        </w:rPr>
        <w:t xml:space="preserve"> provided to the </w:t>
      </w:r>
      <w:r w:rsidR="00CB5E29">
        <w:rPr>
          <w:rFonts w:ascii="Times New Roman" w:hAnsi="Times New Roman" w:cs="Times New Roman"/>
          <w:sz w:val="24"/>
          <w:szCs w:val="24"/>
        </w:rPr>
        <w:t xml:space="preserve">department for distribution to the </w:t>
      </w:r>
      <w:r w:rsidR="00EE155F">
        <w:rPr>
          <w:rFonts w:ascii="Times New Roman" w:hAnsi="Times New Roman" w:cs="Times New Roman"/>
          <w:sz w:val="24"/>
          <w:szCs w:val="24"/>
        </w:rPr>
        <w:t xml:space="preserve">Advisory </w:t>
      </w:r>
      <w:r>
        <w:rPr>
          <w:rFonts w:ascii="Times New Roman" w:hAnsi="Times New Roman" w:cs="Times New Roman"/>
          <w:sz w:val="24"/>
          <w:szCs w:val="24"/>
        </w:rPr>
        <w:t>Committee. If recent letters of references are otherwise available to the committee (e.g., the prospective appointment is part of a current search</w:t>
      </w:r>
      <w:r w:rsidR="00DB07DA">
        <w:rPr>
          <w:rFonts w:ascii="Times New Roman" w:hAnsi="Times New Roman" w:cs="Times New Roman"/>
          <w:sz w:val="24"/>
          <w:szCs w:val="24"/>
        </w:rPr>
        <w:t xml:space="preserve"> for which letters of reference were required</w:t>
      </w:r>
      <w:r>
        <w:rPr>
          <w:rFonts w:ascii="Times New Roman" w:hAnsi="Times New Roman" w:cs="Times New Roman"/>
          <w:sz w:val="24"/>
          <w:szCs w:val="24"/>
        </w:rPr>
        <w:t xml:space="preserve">), those letters will suffice so long as they address the qualifications related to the respective rank. </w:t>
      </w:r>
      <w:r w:rsidR="00E40255">
        <w:rPr>
          <w:rFonts w:ascii="Times New Roman" w:hAnsi="Times New Roman" w:cs="Times New Roman"/>
          <w:sz w:val="24"/>
          <w:szCs w:val="24"/>
        </w:rPr>
        <w:t xml:space="preserve">The strong preference is for at least two of the letters to come from individuals who have directly observed the </w:t>
      </w:r>
      <w:proofErr w:type="gramStart"/>
      <w:r w:rsidR="00E40255">
        <w:rPr>
          <w:rFonts w:ascii="Times New Roman" w:hAnsi="Times New Roman" w:cs="Times New Roman"/>
          <w:sz w:val="24"/>
          <w:szCs w:val="24"/>
        </w:rPr>
        <w:t>candidate’s</w:t>
      </w:r>
      <w:proofErr w:type="gramEnd"/>
      <w:r w:rsidR="00E40255">
        <w:rPr>
          <w:rFonts w:ascii="Times New Roman" w:hAnsi="Times New Roman" w:cs="Times New Roman"/>
          <w:sz w:val="24"/>
          <w:szCs w:val="24"/>
        </w:rPr>
        <w:t xml:space="preserve"> teaching.</w:t>
      </w:r>
    </w:p>
    <w:p w14:paraId="32D5B613" w14:textId="77777777" w:rsidR="0070693A" w:rsidRDefault="0070693A" w:rsidP="000E02FC">
      <w:pPr>
        <w:spacing w:after="0" w:line="240" w:lineRule="auto"/>
        <w:rPr>
          <w:rFonts w:ascii="Times New Roman" w:hAnsi="Times New Roman" w:cs="Times New Roman"/>
          <w:sz w:val="24"/>
          <w:szCs w:val="24"/>
        </w:rPr>
      </w:pPr>
    </w:p>
    <w:p w14:paraId="4BB6C846" w14:textId="437622CD" w:rsidR="0070693A" w:rsidRDefault="00F3042A" w:rsidP="000E02FC">
      <w:pPr>
        <w:spacing w:after="0" w:line="240" w:lineRule="auto"/>
        <w:rPr>
          <w:rFonts w:ascii="Times New Roman" w:hAnsi="Times New Roman" w:cs="Times New Roman"/>
          <w:sz w:val="24"/>
          <w:szCs w:val="24"/>
        </w:rPr>
      </w:pPr>
      <w:r>
        <w:rPr>
          <w:rFonts w:ascii="Times New Roman" w:hAnsi="Times New Roman" w:cs="Times New Roman"/>
          <w:sz w:val="24"/>
          <w:szCs w:val="24"/>
        </w:rPr>
        <w:t>Finally</w:t>
      </w:r>
      <w:r w:rsidR="0070693A">
        <w:rPr>
          <w:rFonts w:ascii="Times New Roman" w:hAnsi="Times New Roman" w:cs="Times New Roman"/>
          <w:sz w:val="24"/>
          <w:szCs w:val="24"/>
        </w:rPr>
        <w:t xml:space="preserve">, </w:t>
      </w:r>
      <w:r w:rsidR="004D44A2">
        <w:rPr>
          <w:rFonts w:ascii="Times New Roman" w:hAnsi="Times New Roman" w:cs="Times New Roman"/>
          <w:sz w:val="24"/>
          <w:szCs w:val="24"/>
        </w:rPr>
        <w:t xml:space="preserve">according to Provost Communication 26, </w:t>
      </w:r>
      <w:r w:rsidR="0070693A">
        <w:rPr>
          <w:rFonts w:ascii="Times New Roman" w:hAnsi="Times New Roman" w:cs="Times New Roman"/>
          <w:sz w:val="24"/>
          <w:szCs w:val="24"/>
        </w:rPr>
        <w:t xml:space="preserve">promotion within the ranks of teaching professors </w:t>
      </w:r>
      <w:r w:rsidR="000E02FC">
        <w:rPr>
          <w:rFonts w:ascii="Times New Roman" w:hAnsi="Times New Roman" w:cs="Times New Roman"/>
          <w:sz w:val="24"/>
          <w:szCs w:val="24"/>
        </w:rPr>
        <w:t xml:space="preserve">(or appointment above the rank of assistant teaching professor) </w:t>
      </w:r>
      <w:r w:rsidR="0070693A">
        <w:rPr>
          <w:rFonts w:ascii="Times New Roman" w:hAnsi="Times New Roman" w:cs="Times New Roman"/>
          <w:sz w:val="24"/>
          <w:szCs w:val="24"/>
        </w:rPr>
        <w:t>requires external review by</w:t>
      </w:r>
      <w:r w:rsidR="004D44A2">
        <w:rPr>
          <w:rFonts w:ascii="Times New Roman" w:hAnsi="Times New Roman" w:cs="Times New Roman"/>
          <w:sz w:val="24"/>
          <w:szCs w:val="24"/>
        </w:rPr>
        <w:t xml:space="preserve"> a minimum of “t</w:t>
      </w:r>
      <w:r w:rsidR="004D44A2" w:rsidRPr="004D44A2">
        <w:rPr>
          <w:rFonts w:ascii="Times New Roman" w:hAnsi="Times New Roman" w:cs="Times New Roman"/>
          <w:sz w:val="24"/>
          <w:szCs w:val="24"/>
        </w:rPr>
        <w:t>hree</w:t>
      </w:r>
      <w:r w:rsidR="004D44A2">
        <w:rPr>
          <w:rFonts w:ascii="Times New Roman" w:hAnsi="Times New Roman" w:cs="Times New Roman"/>
          <w:sz w:val="24"/>
          <w:szCs w:val="24"/>
        </w:rPr>
        <w:t xml:space="preserve"> </w:t>
      </w:r>
      <w:r w:rsidR="004D44A2" w:rsidRPr="004D44A2">
        <w:rPr>
          <w:rFonts w:ascii="Times New Roman" w:hAnsi="Times New Roman" w:cs="Times New Roman"/>
          <w:sz w:val="24"/>
          <w:szCs w:val="24"/>
        </w:rPr>
        <w:t>scholars or professional specialists</w:t>
      </w:r>
      <w:r w:rsidR="004D44A2">
        <w:rPr>
          <w:rFonts w:ascii="Times New Roman" w:hAnsi="Times New Roman" w:cs="Times New Roman"/>
          <w:sz w:val="24"/>
          <w:szCs w:val="24"/>
        </w:rPr>
        <w:t xml:space="preserve"> </w:t>
      </w:r>
      <w:r w:rsidR="004D44A2" w:rsidRPr="004D44A2">
        <w:rPr>
          <w:rFonts w:ascii="Times New Roman" w:hAnsi="Times New Roman" w:cs="Times New Roman"/>
          <w:sz w:val="24"/>
          <w:szCs w:val="24"/>
        </w:rPr>
        <w:t>outside the</w:t>
      </w:r>
      <w:r w:rsidR="004D44A2">
        <w:rPr>
          <w:rFonts w:ascii="Times New Roman" w:hAnsi="Times New Roman" w:cs="Times New Roman"/>
          <w:sz w:val="24"/>
          <w:szCs w:val="24"/>
        </w:rPr>
        <w:t xml:space="preserve"> </w:t>
      </w:r>
      <w:r w:rsidR="004D44A2" w:rsidRPr="004D44A2">
        <w:rPr>
          <w:rFonts w:ascii="Times New Roman" w:hAnsi="Times New Roman" w:cs="Times New Roman"/>
          <w:sz w:val="24"/>
          <w:szCs w:val="24"/>
        </w:rPr>
        <w:t>University</w:t>
      </w:r>
      <w:r w:rsidR="004D44A2">
        <w:rPr>
          <w:rFonts w:ascii="Times New Roman" w:hAnsi="Times New Roman" w:cs="Times New Roman"/>
          <w:sz w:val="24"/>
          <w:szCs w:val="24"/>
        </w:rPr>
        <w:t xml:space="preserve">.” The external reviewers must come from comparable institutions and must not have any conflict of interest in doing an evaluation. If viewed as helpful in a particular case, the Head may also ask </w:t>
      </w:r>
      <w:r w:rsidR="004D44A2">
        <w:rPr>
          <w:rFonts w:ascii="Times New Roman" w:hAnsi="Times New Roman" w:cs="Times New Roman"/>
          <w:sz w:val="24"/>
          <w:szCs w:val="24"/>
        </w:rPr>
        <w:lastRenderedPageBreak/>
        <w:t xml:space="preserve">for letters of evaluation from individuals outside the department but on campus. </w:t>
      </w:r>
      <w:r w:rsidR="002A35F7">
        <w:rPr>
          <w:rFonts w:ascii="Times New Roman" w:hAnsi="Times New Roman" w:cs="Times New Roman"/>
          <w:sz w:val="24"/>
          <w:szCs w:val="24"/>
        </w:rPr>
        <w:t xml:space="preserve"> </w:t>
      </w:r>
      <w:r w:rsidR="00F667EC">
        <w:rPr>
          <w:rFonts w:ascii="Times New Roman" w:hAnsi="Times New Roman" w:cs="Times New Roman"/>
          <w:sz w:val="24"/>
          <w:szCs w:val="24"/>
        </w:rPr>
        <w:t xml:space="preserve">Please note- these letters are not the external review letters required by Provost Communication 26.  </w:t>
      </w:r>
      <w:r w:rsidR="002A35F7">
        <w:rPr>
          <w:rFonts w:ascii="Times New Roman" w:hAnsi="Times New Roman" w:cs="Times New Roman"/>
          <w:sz w:val="24"/>
          <w:szCs w:val="24"/>
        </w:rPr>
        <w:t>See Communi</w:t>
      </w:r>
      <w:r w:rsidR="008501A7">
        <w:rPr>
          <w:rFonts w:ascii="Times New Roman" w:hAnsi="Times New Roman" w:cs="Times New Roman"/>
          <w:sz w:val="24"/>
          <w:szCs w:val="24"/>
        </w:rPr>
        <w:t>cation 26 for more information.</w:t>
      </w:r>
    </w:p>
    <w:p w14:paraId="2C1F23BF" w14:textId="77777777" w:rsidR="008501A7" w:rsidRDefault="008501A7" w:rsidP="000E02FC">
      <w:pPr>
        <w:spacing w:after="0" w:line="240" w:lineRule="auto"/>
        <w:rPr>
          <w:rFonts w:ascii="Times New Roman" w:hAnsi="Times New Roman" w:cs="Times New Roman"/>
          <w:sz w:val="24"/>
          <w:szCs w:val="24"/>
        </w:rPr>
      </w:pPr>
    </w:p>
    <w:p w14:paraId="586FDA69" w14:textId="4E11855F" w:rsidR="008501A7" w:rsidRPr="00F62DC0" w:rsidRDefault="008501A7" w:rsidP="005E656E">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Clinical</w:t>
      </w:r>
      <w:r w:rsidRPr="00F62DC0">
        <w:rPr>
          <w:rFonts w:ascii="Times New Roman" w:hAnsi="Times New Roman" w:cs="Times New Roman"/>
          <w:b/>
          <w:sz w:val="24"/>
          <w:szCs w:val="24"/>
        </w:rPr>
        <w:t xml:space="preserve"> Professorial Appointments</w:t>
      </w:r>
    </w:p>
    <w:p w14:paraId="3E2E094F" w14:textId="1031A00F" w:rsidR="004D44A2" w:rsidRDefault="008501A7" w:rsidP="008501A7">
      <w:pPr>
        <w:pStyle w:val="ListParagraph"/>
        <w:spacing w:after="0" w:line="240" w:lineRule="auto"/>
        <w:ind w:left="0"/>
        <w:contextualSpacing w:val="0"/>
        <w:rPr>
          <w:rFonts w:ascii="Times New Roman" w:hAnsi="Times New Roman"/>
          <w:sz w:val="24"/>
          <w:szCs w:val="24"/>
        </w:rPr>
      </w:pPr>
      <w:r>
        <w:rPr>
          <w:rFonts w:ascii="Times New Roman" w:hAnsi="Times New Roman" w:cs="Times New Roman"/>
          <w:sz w:val="24"/>
          <w:szCs w:val="24"/>
        </w:rPr>
        <w:t xml:space="preserve">Provost communication 25 </w:t>
      </w:r>
      <w:proofErr w:type="gramStart"/>
      <w:r>
        <w:rPr>
          <w:rFonts w:ascii="Times New Roman" w:hAnsi="Times New Roman" w:cs="Times New Roman"/>
          <w:sz w:val="24"/>
          <w:szCs w:val="24"/>
        </w:rPr>
        <w:t>notes that</w:t>
      </w:r>
      <w:proofErr w:type="gramEnd"/>
      <w:r>
        <w:rPr>
          <w:rFonts w:ascii="Times New Roman" w:hAnsi="Times New Roman" w:cs="Times New Roman"/>
          <w:sz w:val="24"/>
          <w:szCs w:val="24"/>
        </w:rPr>
        <w:t xml:space="preserve"> “p</w:t>
      </w:r>
      <w:r w:rsidRPr="008501A7">
        <w:rPr>
          <w:rFonts w:ascii="Times New Roman" w:hAnsi="Times New Roman" w:cs="Times New Roman"/>
          <w:sz w:val="24"/>
          <w:szCs w:val="24"/>
        </w:rPr>
        <w:t>rofessorial titles with a “clinical” modifier may be used to create specialized faculty appointments for individuals who provide instruction that draws on and provides specialized knowledge gained from practical experience</w:t>
      </w:r>
      <w:r>
        <w:rPr>
          <w:rFonts w:ascii="Times New Roman" w:hAnsi="Times New Roman" w:cs="Times New Roman"/>
          <w:sz w:val="24"/>
          <w:szCs w:val="24"/>
        </w:rPr>
        <w:t>s in a discipline or profession.”  In anthropology, such “specialized knowledge gained from practical experience</w:t>
      </w:r>
      <w:r w:rsidR="00C25B3E">
        <w:rPr>
          <w:rFonts w:ascii="Times New Roman" w:hAnsi="Times New Roman" w:cs="Times New Roman"/>
          <w:sz w:val="24"/>
          <w:szCs w:val="24"/>
        </w:rPr>
        <w:t xml:space="preserve">” could include laboratory techniques/methods and/or field methods.  Provost </w:t>
      </w:r>
      <w:r>
        <w:rPr>
          <w:rFonts w:ascii="Times New Roman" w:hAnsi="Times New Roman" w:cs="Times New Roman"/>
          <w:sz w:val="24"/>
          <w:szCs w:val="24"/>
        </w:rPr>
        <w:t xml:space="preserve">communication </w:t>
      </w:r>
      <w:r w:rsidR="00C25B3E">
        <w:rPr>
          <w:rFonts w:ascii="Times New Roman" w:hAnsi="Times New Roman" w:cs="Times New Roman"/>
          <w:sz w:val="24"/>
          <w:szCs w:val="24"/>
        </w:rPr>
        <w:t xml:space="preserve">25 </w:t>
      </w:r>
      <w:r>
        <w:rPr>
          <w:rFonts w:ascii="Times New Roman" w:hAnsi="Times New Roman" w:cs="Times New Roman"/>
          <w:sz w:val="24"/>
          <w:szCs w:val="24"/>
        </w:rPr>
        <w:t xml:space="preserve">further notes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t>
      </w:r>
      <w:r w:rsidRPr="008501A7">
        <w:rPr>
          <w:rFonts w:ascii="Times New Roman" w:hAnsi="Times New Roman" w:cs="Times New Roman"/>
          <w:sz w:val="24"/>
          <w:szCs w:val="24"/>
        </w:rPr>
        <w:t>Clinical faculty are focused primarily on teaching both in and out of the classroom, but they may also contribute to the University’s public engagement mission and conduc</w:t>
      </w:r>
      <w:r>
        <w:rPr>
          <w:rFonts w:ascii="Times New Roman" w:hAnsi="Times New Roman" w:cs="Times New Roman"/>
          <w:sz w:val="24"/>
          <w:szCs w:val="24"/>
        </w:rPr>
        <w:t xml:space="preserve">t research.”  </w:t>
      </w:r>
      <w:r w:rsidR="005B0077" w:rsidRPr="005B0077">
        <w:rPr>
          <w:rFonts w:ascii="Times New Roman" w:eastAsia="Times New Roman" w:hAnsi="Times New Roman" w:cs="Times New Roman"/>
          <w:sz w:val="24"/>
          <w:szCs w:val="24"/>
        </w:rPr>
        <w:t xml:space="preserve">A Ph.D. </w:t>
      </w:r>
      <w:proofErr w:type="gramStart"/>
      <w:r w:rsidR="005B0077" w:rsidRPr="005B0077">
        <w:rPr>
          <w:rFonts w:ascii="Times New Roman" w:eastAsia="Times New Roman" w:hAnsi="Times New Roman" w:cs="Times New Roman"/>
          <w:sz w:val="24"/>
          <w:szCs w:val="24"/>
        </w:rPr>
        <w:t>is expected</w:t>
      </w:r>
      <w:proofErr w:type="gramEnd"/>
      <w:r w:rsidR="005B0077" w:rsidRPr="005B0077">
        <w:rPr>
          <w:rFonts w:ascii="Times New Roman" w:eastAsia="Times New Roman" w:hAnsi="Times New Roman" w:cs="Times New Roman"/>
          <w:sz w:val="24"/>
          <w:szCs w:val="24"/>
        </w:rPr>
        <w:t xml:space="preserve"> for individuals holding the title of Clinical Professor (of any rank).  However, exceptions </w:t>
      </w:r>
      <w:proofErr w:type="gramStart"/>
      <w:r w:rsidR="005B0077" w:rsidRPr="005B0077">
        <w:rPr>
          <w:rFonts w:ascii="Times New Roman" w:eastAsia="Times New Roman" w:hAnsi="Times New Roman" w:cs="Times New Roman"/>
          <w:sz w:val="24"/>
          <w:szCs w:val="24"/>
        </w:rPr>
        <w:t>can be made</w:t>
      </w:r>
      <w:proofErr w:type="gramEnd"/>
      <w:r w:rsidR="005B0077" w:rsidRPr="005B0077">
        <w:rPr>
          <w:rFonts w:ascii="Times New Roman" w:eastAsia="Times New Roman" w:hAnsi="Times New Roman" w:cs="Times New Roman"/>
          <w:sz w:val="24"/>
          <w:szCs w:val="24"/>
        </w:rPr>
        <w:t xml:space="preserve"> in exceptional circumstances to the Ph.D. requirement. Examples of exceptions </w:t>
      </w:r>
      <w:proofErr w:type="gramStart"/>
      <w:r w:rsidR="005B0077" w:rsidRPr="005B0077">
        <w:rPr>
          <w:rFonts w:ascii="Times New Roman" w:eastAsia="Times New Roman" w:hAnsi="Times New Roman" w:cs="Times New Roman"/>
          <w:sz w:val="24"/>
          <w:szCs w:val="24"/>
        </w:rPr>
        <w:t>include:</w:t>
      </w:r>
      <w:proofErr w:type="gramEnd"/>
      <w:r w:rsidR="005B0077" w:rsidRPr="005B0077">
        <w:rPr>
          <w:rFonts w:ascii="Times New Roman" w:eastAsia="Times New Roman" w:hAnsi="Times New Roman" w:cs="Times New Roman"/>
          <w:sz w:val="24"/>
          <w:szCs w:val="24"/>
        </w:rPr>
        <w:t xml:space="preserve"> an individual has many years of experience practicing the discipline outside of the University; an individual holds a terminal degree in a discipline that does not offer a Ph.D.; or an individual holds a degree that is deemed appropriate for tenured faculty appointments in other units.</w:t>
      </w:r>
      <w:r w:rsidR="005B0077">
        <w:rPr>
          <w:rFonts w:ascii="Times New Roman" w:eastAsia="Times New Roman" w:hAnsi="Times New Roman" w:cs="Times New Roman"/>
          <w:sz w:val="24"/>
          <w:szCs w:val="24"/>
        </w:rPr>
        <w:t xml:space="preserve"> </w:t>
      </w:r>
      <w:r w:rsidR="004A6713">
        <w:rPr>
          <w:rFonts w:ascii="Times New Roman" w:hAnsi="Times New Roman"/>
          <w:sz w:val="24"/>
          <w:szCs w:val="24"/>
        </w:rPr>
        <w:t xml:space="preserve">Promotion to Clinical Associate Professor </w:t>
      </w:r>
      <w:proofErr w:type="spellStart"/>
      <w:r w:rsidR="004A6713">
        <w:rPr>
          <w:rFonts w:ascii="Times New Roman" w:hAnsi="Times New Roman"/>
          <w:sz w:val="24"/>
          <w:szCs w:val="24"/>
        </w:rPr>
        <w:t>or</w:t>
      </w:r>
      <w:proofErr w:type="spellEnd"/>
      <w:r w:rsidR="004A6713">
        <w:rPr>
          <w:rFonts w:ascii="Times New Roman" w:hAnsi="Times New Roman"/>
          <w:sz w:val="24"/>
          <w:szCs w:val="24"/>
        </w:rPr>
        <w:t xml:space="preserve"> Clinical Full Professor follows the process described in Provost Communication </w:t>
      </w:r>
      <w:proofErr w:type="gramStart"/>
      <w:r w:rsidR="004A6713">
        <w:rPr>
          <w:rFonts w:ascii="Times New Roman" w:hAnsi="Times New Roman"/>
          <w:sz w:val="24"/>
          <w:szCs w:val="24"/>
        </w:rPr>
        <w:t>26 which</w:t>
      </w:r>
      <w:proofErr w:type="gramEnd"/>
      <w:r w:rsidR="004A6713">
        <w:rPr>
          <w:rFonts w:ascii="Times New Roman" w:hAnsi="Times New Roman"/>
          <w:sz w:val="24"/>
          <w:szCs w:val="24"/>
        </w:rPr>
        <w:t xml:space="preserve"> also gives the dossier format.</w:t>
      </w:r>
    </w:p>
    <w:p w14:paraId="2EE7684A" w14:textId="77777777" w:rsidR="004D77F7" w:rsidRDefault="004D77F7" w:rsidP="008501A7">
      <w:pPr>
        <w:pStyle w:val="ListParagraph"/>
        <w:spacing w:after="0" w:line="240" w:lineRule="auto"/>
        <w:ind w:left="0"/>
        <w:contextualSpacing w:val="0"/>
        <w:rPr>
          <w:rFonts w:ascii="Times New Roman" w:hAnsi="Times New Roman"/>
          <w:sz w:val="24"/>
          <w:szCs w:val="24"/>
        </w:rPr>
      </w:pPr>
    </w:p>
    <w:p w14:paraId="0727FA6A" w14:textId="36709AF2" w:rsidR="0070693A" w:rsidRDefault="004D77F7" w:rsidP="004D77F7">
      <w:pPr>
        <w:pStyle w:val="ListParagraph"/>
        <w:spacing w:after="0" w:line="240" w:lineRule="auto"/>
        <w:ind w:left="0"/>
        <w:contextualSpacing w:val="0"/>
        <w:rPr>
          <w:rFonts w:ascii="Times New Roman" w:hAnsi="Times New Roman"/>
          <w:sz w:val="24"/>
          <w:szCs w:val="24"/>
        </w:rPr>
      </w:pPr>
      <w:r w:rsidRPr="004D77F7">
        <w:rPr>
          <w:rFonts w:ascii="Times New Roman" w:hAnsi="Times New Roman"/>
          <w:sz w:val="24"/>
          <w:szCs w:val="24"/>
        </w:rPr>
        <w:t xml:space="preserve">Specialized faculty appointed to this track </w:t>
      </w:r>
      <w:r>
        <w:rPr>
          <w:rFonts w:ascii="Times New Roman" w:hAnsi="Times New Roman"/>
          <w:sz w:val="24"/>
          <w:szCs w:val="24"/>
        </w:rPr>
        <w:t xml:space="preserve">in Anthropology </w:t>
      </w:r>
      <w:r w:rsidRPr="004D77F7">
        <w:rPr>
          <w:rFonts w:ascii="Times New Roman" w:hAnsi="Times New Roman"/>
          <w:sz w:val="24"/>
          <w:szCs w:val="24"/>
        </w:rPr>
        <w:t xml:space="preserve">have the majority of their appointment dedicated to teaching, with the expectation that their teaching </w:t>
      </w:r>
      <w:proofErr w:type="gramStart"/>
      <w:r w:rsidRPr="004D77F7">
        <w:rPr>
          <w:rFonts w:ascii="Times New Roman" w:hAnsi="Times New Roman"/>
          <w:sz w:val="24"/>
          <w:szCs w:val="24"/>
        </w:rPr>
        <w:t>is informed</w:t>
      </w:r>
      <w:proofErr w:type="gramEnd"/>
      <w:r w:rsidRPr="004D77F7">
        <w:rPr>
          <w:rFonts w:ascii="Times New Roman" w:hAnsi="Times New Roman"/>
          <w:sz w:val="24"/>
          <w:szCs w:val="24"/>
        </w:rPr>
        <w:t xml:space="preserve"> by their area of specialization.  The standard teaching load</w:t>
      </w:r>
      <w:r>
        <w:rPr>
          <w:rFonts w:ascii="Times New Roman" w:hAnsi="Times New Roman"/>
          <w:sz w:val="24"/>
          <w:szCs w:val="24"/>
        </w:rPr>
        <w:t xml:space="preserve"> for a clinical professor is </w:t>
      </w:r>
      <w:r w:rsidRPr="004D77F7">
        <w:rPr>
          <w:rFonts w:ascii="Times New Roman" w:hAnsi="Times New Roman"/>
          <w:b/>
          <w:sz w:val="24"/>
          <w:szCs w:val="24"/>
        </w:rPr>
        <w:t>four courses per academic year</w:t>
      </w:r>
      <w:r>
        <w:rPr>
          <w:rFonts w:ascii="Times New Roman" w:hAnsi="Times New Roman"/>
          <w:sz w:val="24"/>
          <w:szCs w:val="24"/>
        </w:rPr>
        <w:t xml:space="preserve"> (two courses in each semester).</w:t>
      </w:r>
      <w:r w:rsidRPr="004D77F7">
        <w:rPr>
          <w:rFonts w:ascii="Times New Roman" w:hAnsi="Times New Roman"/>
          <w:sz w:val="24"/>
          <w:szCs w:val="24"/>
        </w:rPr>
        <w:t xml:space="preserve"> Depending on the details of their appointment, clinical faculty may have additional research, service, or </w:t>
      </w:r>
      <w:r w:rsidR="00DD3E74">
        <w:rPr>
          <w:rFonts w:ascii="Times New Roman" w:hAnsi="Times New Roman"/>
          <w:sz w:val="24"/>
          <w:szCs w:val="24"/>
        </w:rPr>
        <w:t>public engagement</w:t>
      </w:r>
      <w:r w:rsidRPr="004D77F7">
        <w:rPr>
          <w:rFonts w:ascii="Times New Roman" w:hAnsi="Times New Roman"/>
          <w:sz w:val="24"/>
          <w:szCs w:val="24"/>
        </w:rPr>
        <w:t xml:space="preserve"> responsibilities. For clinical faculty with active research programs, there may be expectations of publication and grant productivity. Clinical faculty may participate in graduate committees. High enrollment teaching, mentoring of multiple undergraduate capstone or honors projects, and ICR-generating grants may provide additional credit toward teaching responsibilities, </w:t>
      </w:r>
      <w:r>
        <w:rPr>
          <w:rFonts w:ascii="Times New Roman" w:hAnsi="Times New Roman"/>
          <w:sz w:val="24"/>
          <w:szCs w:val="24"/>
        </w:rPr>
        <w:t>subject to the approval of the H</w:t>
      </w:r>
      <w:r w:rsidRPr="004D77F7">
        <w:rPr>
          <w:rFonts w:ascii="Times New Roman" w:hAnsi="Times New Roman"/>
          <w:sz w:val="24"/>
          <w:szCs w:val="24"/>
        </w:rPr>
        <w:t>ead.</w:t>
      </w:r>
    </w:p>
    <w:p w14:paraId="3A972F98" w14:textId="77777777" w:rsidR="004D4EB1" w:rsidRDefault="004D4EB1" w:rsidP="004D77F7">
      <w:pPr>
        <w:pStyle w:val="ListParagraph"/>
        <w:spacing w:after="0" w:line="240" w:lineRule="auto"/>
        <w:ind w:left="0"/>
        <w:contextualSpacing w:val="0"/>
        <w:rPr>
          <w:rFonts w:ascii="Times New Roman" w:hAnsi="Times New Roman"/>
          <w:sz w:val="24"/>
          <w:szCs w:val="24"/>
        </w:rPr>
      </w:pPr>
    </w:p>
    <w:p w14:paraId="232C2310" w14:textId="0FE1F3B1" w:rsidR="004D4EB1" w:rsidRDefault="004D4EB1" w:rsidP="004D4EB1">
      <w:pPr>
        <w:spacing w:after="0" w:line="240" w:lineRule="auto"/>
        <w:rPr>
          <w:rFonts w:ascii="Times New Roman" w:hAnsi="Times New Roman" w:cs="Times New Roman"/>
          <w:sz w:val="24"/>
          <w:szCs w:val="24"/>
        </w:rPr>
      </w:pPr>
      <w:r>
        <w:rPr>
          <w:rFonts w:ascii="Times New Roman" w:hAnsi="Times New Roman" w:cs="Times New Roman"/>
          <w:sz w:val="24"/>
          <w:szCs w:val="24"/>
        </w:rPr>
        <w:t>There is no set minimum time in rank, but to be evaluated for appointment as clinical associate professor (or promotion to clinical associate professor from clinical assistant professor)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 candidate must have at least five years of full-time experience on a university-level faculty </w:t>
      </w:r>
      <w:r>
        <w:rPr>
          <w:rFonts w:ascii="Times New Roman" w:hAnsi="Times New Roman" w:cs="Times New Roman"/>
          <w:i/>
          <w:sz w:val="24"/>
          <w:szCs w:val="24"/>
        </w:rPr>
        <w:t>after having completed the terminal degree</w:t>
      </w:r>
      <w:r>
        <w:rPr>
          <w:rFonts w:ascii="Times New Roman" w:hAnsi="Times New Roman" w:cs="Times New Roman"/>
          <w:sz w:val="24"/>
          <w:szCs w:val="24"/>
        </w:rPr>
        <w:t xml:space="preserve">. 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for appointment as clinical full professor (or promotion to clinical full professor from clinical associate professor), a minimum of ten years of experience on a university-level faculty after the terminal degree is required.  </w:t>
      </w:r>
      <w:r w:rsidRPr="00ED172C">
        <w:rPr>
          <w:rFonts w:ascii="Times New Roman" w:hAnsi="Times New Roman" w:cs="Times New Roman"/>
          <w:sz w:val="24"/>
          <w:szCs w:val="24"/>
        </w:rPr>
        <w:t xml:space="preserve">Normally the full-time experience on a university-level faculty will occur at the University of Illinois, but exceptions </w:t>
      </w:r>
      <w:proofErr w:type="gramStart"/>
      <w:r w:rsidRPr="00ED172C">
        <w:rPr>
          <w:rFonts w:ascii="Times New Roman" w:hAnsi="Times New Roman" w:cs="Times New Roman"/>
          <w:sz w:val="24"/>
          <w:szCs w:val="24"/>
        </w:rPr>
        <w:t>can be made</w:t>
      </w:r>
      <w:proofErr w:type="gramEnd"/>
      <w:r w:rsidRPr="00ED172C">
        <w:rPr>
          <w:rFonts w:ascii="Times New Roman" w:hAnsi="Times New Roman" w:cs="Times New Roman"/>
          <w:sz w:val="24"/>
          <w:szCs w:val="24"/>
        </w:rPr>
        <w:t xml:space="preserve"> with appropriate justification.</w:t>
      </w:r>
      <w:r>
        <w:rPr>
          <w:rFonts w:ascii="Times New Roman" w:hAnsi="Times New Roman" w:cs="Times New Roman"/>
          <w:sz w:val="24"/>
          <w:szCs w:val="24"/>
        </w:rPr>
        <w:t xml:space="preserve"> There is no maximum time in rank.</w:t>
      </w:r>
    </w:p>
    <w:p w14:paraId="6F49D8C1" w14:textId="77777777" w:rsidR="004D4EB1" w:rsidRDefault="004D4EB1" w:rsidP="004D4EB1">
      <w:pPr>
        <w:spacing w:after="0" w:line="240" w:lineRule="auto"/>
        <w:rPr>
          <w:rFonts w:ascii="Times New Roman" w:hAnsi="Times New Roman" w:cs="Times New Roman"/>
          <w:sz w:val="24"/>
          <w:szCs w:val="24"/>
        </w:rPr>
      </w:pPr>
    </w:p>
    <w:p w14:paraId="7F0D49F0" w14:textId="5847A63F" w:rsidR="004D4EB1" w:rsidRDefault="004D4EB1" w:rsidP="004D4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long as it is feasible, individuals in the clinical professor ranks will be eligible for multi-year contracts. Multi-year contracts </w:t>
      </w:r>
      <w:proofErr w:type="gramStart"/>
      <w:r>
        <w:rPr>
          <w:rFonts w:ascii="Times New Roman" w:hAnsi="Times New Roman" w:cs="Times New Roman"/>
          <w:sz w:val="24"/>
          <w:szCs w:val="24"/>
        </w:rPr>
        <w:t>will only be offered</w:t>
      </w:r>
      <w:proofErr w:type="gramEnd"/>
      <w:r>
        <w:rPr>
          <w:rFonts w:ascii="Times New Roman" w:hAnsi="Times New Roman" w:cs="Times New Roman"/>
          <w:sz w:val="24"/>
          <w:szCs w:val="24"/>
        </w:rPr>
        <w:t xml:space="preserve"> to individuals who maintain excellence in their teaching, research, and service obligations, as evaluated in the customary annual reviews. </w:t>
      </w:r>
    </w:p>
    <w:p w14:paraId="3BDA76B2" w14:textId="77777777" w:rsidR="004D4EB1" w:rsidRDefault="004D4EB1" w:rsidP="004D4EB1">
      <w:pPr>
        <w:spacing w:after="0" w:line="240" w:lineRule="auto"/>
        <w:rPr>
          <w:rFonts w:ascii="Times New Roman" w:hAnsi="Times New Roman" w:cs="Times New Roman"/>
          <w:sz w:val="24"/>
          <w:szCs w:val="24"/>
        </w:rPr>
      </w:pPr>
    </w:p>
    <w:p w14:paraId="5750EAC9" w14:textId="77777777" w:rsidR="00DE4FD8" w:rsidRDefault="00DE4FD8" w:rsidP="004D4EB1">
      <w:pPr>
        <w:spacing w:after="0" w:line="240" w:lineRule="auto"/>
        <w:rPr>
          <w:rFonts w:ascii="Times New Roman" w:hAnsi="Times New Roman" w:cs="Times New Roman"/>
          <w:sz w:val="24"/>
          <w:szCs w:val="24"/>
        </w:rPr>
      </w:pPr>
    </w:p>
    <w:p w14:paraId="470863E7" w14:textId="6D2C928C" w:rsidR="004D4EB1" w:rsidRPr="00360F6F" w:rsidRDefault="004D4EB1" w:rsidP="005E656E">
      <w:pPr>
        <w:spacing w:after="0" w:line="240" w:lineRule="auto"/>
        <w:outlineLvl w:val="0"/>
        <w:rPr>
          <w:rFonts w:ascii="Times New Roman" w:hAnsi="Times New Roman" w:cs="Times New Roman"/>
          <w:b/>
          <w:i/>
          <w:sz w:val="24"/>
          <w:szCs w:val="24"/>
        </w:rPr>
      </w:pPr>
      <w:r>
        <w:rPr>
          <w:rFonts w:ascii="Times New Roman" w:hAnsi="Times New Roman" w:cs="Times New Roman"/>
          <w:b/>
          <w:i/>
          <w:sz w:val="24"/>
          <w:szCs w:val="24"/>
        </w:rPr>
        <w:lastRenderedPageBreak/>
        <w:t>Professorial</w:t>
      </w:r>
      <w:r w:rsidRPr="00360F6F">
        <w:rPr>
          <w:rFonts w:ascii="Times New Roman" w:hAnsi="Times New Roman" w:cs="Times New Roman"/>
          <w:b/>
          <w:i/>
          <w:sz w:val="24"/>
          <w:szCs w:val="24"/>
        </w:rPr>
        <w:t xml:space="preserve"> Expectations</w:t>
      </w:r>
      <w:r>
        <w:rPr>
          <w:rFonts w:ascii="Times New Roman" w:hAnsi="Times New Roman" w:cs="Times New Roman"/>
          <w:b/>
          <w:i/>
          <w:sz w:val="24"/>
          <w:szCs w:val="24"/>
        </w:rPr>
        <w:t xml:space="preserve"> (For All Ranks of </w:t>
      </w:r>
      <w:r w:rsidRPr="00CA79A1">
        <w:rPr>
          <w:rFonts w:ascii="Times New Roman" w:hAnsi="Times New Roman" w:cs="Times New Roman"/>
          <w:b/>
          <w:i/>
          <w:sz w:val="24"/>
          <w:szCs w:val="24"/>
        </w:rPr>
        <w:t xml:space="preserve">Clinical </w:t>
      </w:r>
      <w:r>
        <w:rPr>
          <w:rFonts w:ascii="Times New Roman" w:hAnsi="Times New Roman" w:cs="Times New Roman"/>
          <w:b/>
          <w:i/>
          <w:sz w:val="24"/>
          <w:szCs w:val="24"/>
        </w:rPr>
        <w:t>Professors)</w:t>
      </w:r>
    </w:p>
    <w:p w14:paraId="27ED7B92" w14:textId="4255DD79" w:rsidR="004D4EB1" w:rsidRDefault="004D4EB1" w:rsidP="004D4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title of “professor” comes with expectations that one engages with and contributes to a scholarly community in ways that go beyond teaching alone. </w:t>
      </w:r>
    </w:p>
    <w:p w14:paraId="3C59F6F8" w14:textId="01FAC8DF" w:rsidR="00DA4A66" w:rsidRDefault="00DA4A66" w:rsidP="004D4EB1">
      <w:pPr>
        <w:spacing w:after="0" w:line="240" w:lineRule="auto"/>
        <w:rPr>
          <w:rFonts w:ascii="Times New Roman" w:hAnsi="Times New Roman" w:cs="Times New Roman"/>
          <w:sz w:val="24"/>
          <w:szCs w:val="24"/>
        </w:rPr>
      </w:pPr>
    </w:p>
    <w:p w14:paraId="3FC602BB" w14:textId="2FDAF21E" w:rsidR="00DA4A66" w:rsidRPr="005126E1" w:rsidRDefault="00897D39" w:rsidP="00DA4A6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Provost Communication </w:t>
      </w:r>
      <w:r w:rsidR="00454E14">
        <w:rPr>
          <w:rFonts w:ascii="Times New Roman" w:hAnsi="Times New Roman" w:cs="Times New Roman"/>
          <w:sz w:val="24"/>
          <w:szCs w:val="24"/>
        </w:rPr>
        <w:t xml:space="preserve">25 </w:t>
      </w:r>
      <w:proofErr w:type="gramStart"/>
      <w:r w:rsidR="00454E14">
        <w:rPr>
          <w:rFonts w:ascii="Times New Roman" w:hAnsi="Times New Roman" w:cs="Times New Roman"/>
          <w:sz w:val="24"/>
          <w:szCs w:val="24"/>
        </w:rPr>
        <w:t>states that</w:t>
      </w:r>
      <w:proofErr w:type="gramEnd"/>
      <w:r w:rsidR="00454E14">
        <w:rPr>
          <w:rFonts w:ascii="Times New Roman" w:hAnsi="Times New Roman" w:cs="Times New Roman"/>
          <w:sz w:val="24"/>
          <w:szCs w:val="24"/>
        </w:rPr>
        <w:t xml:space="preserve"> “</w:t>
      </w:r>
      <w:r w:rsidR="00454E14" w:rsidRPr="00454E14">
        <w:rPr>
          <w:rFonts w:ascii="Times New Roman" w:hAnsi="Times New Roman" w:cs="Times New Roman"/>
          <w:sz w:val="24"/>
          <w:szCs w:val="24"/>
        </w:rPr>
        <w:t>Clinical faculty are focused primarily on teaching both in and out of the</w:t>
      </w:r>
      <w:r w:rsidR="00454E14">
        <w:rPr>
          <w:rFonts w:ascii="Times New Roman" w:hAnsi="Times New Roman" w:cs="Times New Roman"/>
          <w:sz w:val="24"/>
          <w:szCs w:val="24"/>
        </w:rPr>
        <w:t xml:space="preserve"> classroom, </w:t>
      </w:r>
      <w:r w:rsidR="00454E14" w:rsidRPr="00454E14">
        <w:rPr>
          <w:rFonts w:ascii="Times New Roman" w:hAnsi="Times New Roman" w:cs="Times New Roman"/>
          <w:sz w:val="24"/>
          <w:szCs w:val="24"/>
        </w:rPr>
        <w:t>but they may also contribute to the University’s public</w:t>
      </w:r>
      <w:r w:rsidR="00454E14">
        <w:rPr>
          <w:rFonts w:ascii="Times New Roman" w:hAnsi="Times New Roman" w:cs="Times New Roman"/>
          <w:sz w:val="24"/>
          <w:szCs w:val="24"/>
        </w:rPr>
        <w:t xml:space="preserve"> engagement mission and conduct r</w:t>
      </w:r>
      <w:r w:rsidR="00454E14" w:rsidRPr="00454E14">
        <w:rPr>
          <w:rFonts w:ascii="Times New Roman" w:hAnsi="Times New Roman" w:cs="Times New Roman"/>
          <w:sz w:val="24"/>
          <w:szCs w:val="24"/>
        </w:rPr>
        <w:t>esearch.</w:t>
      </w:r>
      <w:r w:rsidR="00454E14">
        <w:rPr>
          <w:rFonts w:ascii="Times New Roman" w:hAnsi="Times New Roman" w:cs="Times New Roman"/>
          <w:sz w:val="24"/>
          <w:szCs w:val="24"/>
        </w:rPr>
        <w:t>”</w:t>
      </w:r>
      <w:r w:rsidR="003817D8">
        <w:rPr>
          <w:rFonts w:ascii="Times New Roman" w:hAnsi="Times New Roman" w:cs="Times New Roman"/>
          <w:sz w:val="24"/>
          <w:szCs w:val="24"/>
        </w:rPr>
        <w:t xml:space="preserve">  </w:t>
      </w:r>
      <w:r w:rsidR="00DA4A66">
        <w:rPr>
          <w:rFonts w:ascii="Times New Roman" w:hAnsi="Times New Roman"/>
          <w:sz w:val="24"/>
          <w:szCs w:val="24"/>
        </w:rPr>
        <w:t xml:space="preserve">In keeping with these aims, a clinical professor in the Department of </w:t>
      </w:r>
      <w:r w:rsidR="00922DBB">
        <w:rPr>
          <w:rFonts w:ascii="Times New Roman" w:hAnsi="Times New Roman"/>
          <w:sz w:val="24"/>
          <w:szCs w:val="24"/>
        </w:rPr>
        <w:t xml:space="preserve">Anthropology </w:t>
      </w:r>
      <w:r w:rsidR="00DA4A66">
        <w:rPr>
          <w:rFonts w:ascii="Times New Roman" w:hAnsi="Times New Roman"/>
          <w:sz w:val="24"/>
          <w:szCs w:val="24"/>
        </w:rPr>
        <w:t xml:space="preserve">includes </w:t>
      </w:r>
      <w:r w:rsidR="00DD3E74">
        <w:rPr>
          <w:rFonts w:ascii="Times New Roman" w:hAnsi="Times New Roman"/>
          <w:sz w:val="24"/>
          <w:szCs w:val="24"/>
        </w:rPr>
        <w:t>four</w:t>
      </w:r>
      <w:r w:rsidR="003817D8">
        <w:rPr>
          <w:rFonts w:ascii="Times New Roman" w:hAnsi="Times New Roman"/>
          <w:sz w:val="24"/>
          <w:szCs w:val="24"/>
        </w:rPr>
        <w:t xml:space="preserve"> </w:t>
      </w:r>
      <w:r w:rsidR="00DA4A66">
        <w:rPr>
          <w:rFonts w:ascii="Times New Roman" w:hAnsi="Times New Roman"/>
          <w:sz w:val="24"/>
          <w:szCs w:val="24"/>
        </w:rPr>
        <w:t>primary components:</w:t>
      </w:r>
    </w:p>
    <w:p w14:paraId="2A638D43" w14:textId="61E1C3C5" w:rsidR="00DA4A66" w:rsidRPr="00DD3E74" w:rsidRDefault="00DA4A66" w:rsidP="00DD3E74">
      <w:pPr>
        <w:pStyle w:val="NormalWeb"/>
        <w:numPr>
          <w:ilvl w:val="0"/>
          <w:numId w:val="5"/>
        </w:numPr>
        <w:rPr>
          <w:rFonts w:ascii="Times New Roman" w:hAnsi="Times New Roman"/>
          <w:sz w:val="24"/>
          <w:szCs w:val="24"/>
        </w:rPr>
      </w:pPr>
      <w:r>
        <w:rPr>
          <w:rFonts w:ascii="Times New Roman" w:hAnsi="Times New Roman"/>
          <w:sz w:val="24"/>
          <w:szCs w:val="24"/>
        </w:rPr>
        <w:t>Instruction of undergraduate and graduate students in the applied</w:t>
      </w:r>
      <w:r w:rsidR="00922DBB">
        <w:rPr>
          <w:rFonts w:ascii="Times New Roman" w:hAnsi="Times New Roman"/>
          <w:sz w:val="24"/>
          <w:szCs w:val="24"/>
        </w:rPr>
        <w:t>/engaged</w:t>
      </w:r>
      <w:r>
        <w:rPr>
          <w:rFonts w:ascii="Times New Roman" w:hAnsi="Times New Roman"/>
          <w:sz w:val="24"/>
          <w:szCs w:val="24"/>
        </w:rPr>
        <w:t xml:space="preserve"> work </w:t>
      </w:r>
      <w:r w:rsidR="00DD3E74">
        <w:rPr>
          <w:rFonts w:ascii="Times New Roman" w:hAnsi="Times New Roman"/>
          <w:sz w:val="24"/>
          <w:szCs w:val="24"/>
        </w:rPr>
        <w:t>within their area of speci</w:t>
      </w:r>
      <w:r w:rsidR="00DD3E74" w:rsidRPr="00DD3E74">
        <w:rPr>
          <w:rFonts w:ascii="Times New Roman" w:hAnsi="Times New Roman"/>
          <w:sz w:val="24"/>
          <w:szCs w:val="24"/>
        </w:rPr>
        <w:t>a</w:t>
      </w:r>
      <w:r w:rsidR="00DD3E74">
        <w:rPr>
          <w:rFonts w:ascii="Times New Roman" w:hAnsi="Times New Roman"/>
          <w:sz w:val="24"/>
          <w:szCs w:val="24"/>
        </w:rPr>
        <w:t>li</w:t>
      </w:r>
      <w:r w:rsidR="00DD3E74" w:rsidRPr="00DD3E74">
        <w:rPr>
          <w:rFonts w:ascii="Times New Roman" w:hAnsi="Times New Roman"/>
          <w:sz w:val="24"/>
          <w:szCs w:val="24"/>
        </w:rPr>
        <w:t>zation</w:t>
      </w:r>
      <w:r w:rsidRPr="00DD3E74">
        <w:rPr>
          <w:rFonts w:ascii="Times New Roman" w:hAnsi="Times New Roman"/>
          <w:sz w:val="24"/>
          <w:szCs w:val="24"/>
        </w:rPr>
        <w:t xml:space="preserve"> (e.g.,</w:t>
      </w:r>
      <w:r w:rsidR="00922DBB" w:rsidRPr="00DD3E74">
        <w:rPr>
          <w:rFonts w:ascii="Times New Roman" w:hAnsi="Times New Roman"/>
          <w:sz w:val="24"/>
          <w:szCs w:val="24"/>
        </w:rPr>
        <w:t xml:space="preserve"> ethnographic and</w:t>
      </w:r>
      <w:r w:rsidR="00CA79A1" w:rsidRPr="00DD3E74">
        <w:rPr>
          <w:rFonts w:ascii="Times New Roman" w:hAnsi="Times New Roman"/>
          <w:sz w:val="24"/>
          <w:szCs w:val="24"/>
        </w:rPr>
        <w:t>/or</w:t>
      </w:r>
      <w:r w:rsidR="00922DBB" w:rsidRPr="00DD3E74">
        <w:rPr>
          <w:rFonts w:ascii="Times New Roman" w:hAnsi="Times New Roman"/>
          <w:sz w:val="24"/>
          <w:szCs w:val="24"/>
        </w:rPr>
        <w:t xml:space="preserve"> linguistic data collection and analysis, or forensics and</w:t>
      </w:r>
      <w:r w:rsidR="00307DEF" w:rsidRPr="00DD3E74">
        <w:rPr>
          <w:rFonts w:ascii="Times New Roman" w:hAnsi="Times New Roman"/>
          <w:sz w:val="24"/>
          <w:szCs w:val="24"/>
        </w:rPr>
        <w:t xml:space="preserve">/or </w:t>
      </w:r>
      <w:r w:rsidR="00922DBB" w:rsidRPr="00DD3E74">
        <w:rPr>
          <w:rFonts w:ascii="Times New Roman" w:hAnsi="Times New Roman"/>
          <w:sz w:val="24"/>
          <w:szCs w:val="24"/>
        </w:rPr>
        <w:t xml:space="preserve">related bio-lab </w:t>
      </w:r>
      <w:r w:rsidR="00897D39" w:rsidRPr="00DD3E74">
        <w:rPr>
          <w:rFonts w:ascii="Times New Roman" w:hAnsi="Times New Roman"/>
          <w:sz w:val="24"/>
          <w:szCs w:val="24"/>
        </w:rPr>
        <w:t>work</w:t>
      </w:r>
      <w:r w:rsidR="00922DBB" w:rsidRPr="00DD3E74">
        <w:rPr>
          <w:rFonts w:ascii="Times New Roman" w:hAnsi="Times New Roman"/>
          <w:sz w:val="24"/>
          <w:szCs w:val="24"/>
        </w:rPr>
        <w:t xml:space="preserve">, or artifact collection and </w:t>
      </w:r>
      <w:r w:rsidR="00CA79A1" w:rsidRPr="00DD3E74">
        <w:rPr>
          <w:rFonts w:ascii="Times New Roman" w:hAnsi="Times New Roman"/>
          <w:sz w:val="24"/>
          <w:szCs w:val="24"/>
        </w:rPr>
        <w:t>analysis)</w:t>
      </w:r>
      <w:r w:rsidRPr="00DD3E74">
        <w:rPr>
          <w:rFonts w:ascii="Times New Roman" w:hAnsi="Times New Roman"/>
          <w:sz w:val="24"/>
          <w:szCs w:val="24"/>
        </w:rPr>
        <w:t xml:space="preserve">. </w:t>
      </w:r>
    </w:p>
    <w:p w14:paraId="4F5A6398" w14:textId="7CB45DBC" w:rsidR="00DA4A66" w:rsidRPr="003817D8" w:rsidRDefault="00454E14" w:rsidP="003817D8">
      <w:pPr>
        <w:pStyle w:val="NormalWeb"/>
        <w:numPr>
          <w:ilvl w:val="0"/>
          <w:numId w:val="5"/>
        </w:numPr>
        <w:rPr>
          <w:rFonts w:ascii="Times New Roman" w:hAnsi="Times New Roman"/>
          <w:sz w:val="24"/>
          <w:szCs w:val="24"/>
        </w:rPr>
      </w:pPr>
      <w:r w:rsidRPr="003817D8">
        <w:rPr>
          <w:rFonts w:ascii="Times New Roman" w:hAnsi="Times New Roman"/>
          <w:sz w:val="24"/>
          <w:szCs w:val="24"/>
        </w:rPr>
        <w:t>Specific to the faculty member’s appointment letter, there may be an expectation for p</w:t>
      </w:r>
      <w:r w:rsidR="00DA4A66" w:rsidRPr="003817D8">
        <w:rPr>
          <w:rFonts w:ascii="Times New Roman" w:hAnsi="Times New Roman"/>
          <w:sz w:val="24"/>
          <w:szCs w:val="24"/>
        </w:rPr>
        <w:t xml:space="preserve">ublic engagement with partners within the university and in the broader </w:t>
      </w:r>
      <w:r w:rsidR="00922DBB" w:rsidRPr="003817D8">
        <w:rPr>
          <w:rFonts w:ascii="Times New Roman" w:hAnsi="Times New Roman"/>
          <w:sz w:val="24"/>
          <w:szCs w:val="24"/>
        </w:rPr>
        <w:t xml:space="preserve">local and regional </w:t>
      </w:r>
      <w:r w:rsidR="00DA4A66" w:rsidRPr="003817D8">
        <w:rPr>
          <w:rFonts w:ascii="Times New Roman" w:hAnsi="Times New Roman"/>
          <w:sz w:val="24"/>
          <w:szCs w:val="24"/>
        </w:rPr>
        <w:t>communit</w:t>
      </w:r>
      <w:r w:rsidR="00922DBB" w:rsidRPr="003817D8">
        <w:rPr>
          <w:rFonts w:ascii="Times New Roman" w:hAnsi="Times New Roman"/>
          <w:sz w:val="24"/>
          <w:szCs w:val="24"/>
        </w:rPr>
        <w:t>ies</w:t>
      </w:r>
      <w:r w:rsidR="00DA4A66" w:rsidRPr="003817D8">
        <w:rPr>
          <w:rFonts w:ascii="Times New Roman" w:hAnsi="Times New Roman"/>
          <w:sz w:val="24"/>
          <w:szCs w:val="24"/>
        </w:rPr>
        <w:t xml:space="preserve"> to advance the professionalism of our students, programs and applied research. Such public engagement efforts would include </w:t>
      </w:r>
      <w:r w:rsidR="00F42265" w:rsidRPr="003817D8">
        <w:rPr>
          <w:rFonts w:ascii="Times New Roman" w:hAnsi="Times New Roman"/>
          <w:sz w:val="24"/>
          <w:szCs w:val="24"/>
        </w:rPr>
        <w:t>student</w:t>
      </w:r>
      <w:r w:rsidR="00DA4A66" w:rsidRPr="003817D8">
        <w:rPr>
          <w:rFonts w:ascii="Times New Roman" w:hAnsi="Times New Roman"/>
          <w:sz w:val="24"/>
          <w:szCs w:val="24"/>
        </w:rPr>
        <w:t xml:space="preserve"> trainees whenever possible. The specific nature of this public engagement should be determined based on the particular area of applied work and university and </w:t>
      </w:r>
      <w:r w:rsidR="00922DBB" w:rsidRPr="003817D8">
        <w:rPr>
          <w:rFonts w:ascii="Times New Roman" w:hAnsi="Times New Roman"/>
          <w:sz w:val="24"/>
          <w:szCs w:val="24"/>
        </w:rPr>
        <w:t xml:space="preserve">community </w:t>
      </w:r>
      <w:r w:rsidR="00DA4A66" w:rsidRPr="003817D8">
        <w:rPr>
          <w:rFonts w:ascii="Times New Roman" w:hAnsi="Times New Roman"/>
          <w:sz w:val="24"/>
          <w:szCs w:val="24"/>
        </w:rPr>
        <w:t>needs.</w:t>
      </w:r>
    </w:p>
    <w:p w14:paraId="6264600F" w14:textId="6A7F77BF" w:rsidR="00DA4A66" w:rsidRDefault="00454E14" w:rsidP="00757633">
      <w:pPr>
        <w:pStyle w:val="NormalWeb"/>
        <w:numPr>
          <w:ilvl w:val="0"/>
          <w:numId w:val="5"/>
        </w:numPr>
        <w:rPr>
          <w:rFonts w:ascii="Times New Roman" w:hAnsi="Times New Roman"/>
          <w:sz w:val="24"/>
          <w:szCs w:val="24"/>
        </w:rPr>
      </w:pPr>
      <w:r>
        <w:rPr>
          <w:rFonts w:ascii="Times New Roman" w:hAnsi="Times New Roman"/>
          <w:sz w:val="24"/>
          <w:szCs w:val="24"/>
        </w:rPr>
        <w:t>Specific to the faculty member’s appointment letter, there may be the expectation of p</w:t>
      </w:r>
      <w:r w:rsidR="00DA4A66" w:rsidRPr="00C26308">
        <w:rPr>
          <w:rFonts w:ascii="Times New Roman" w:hAnsi="Times New Roman"/>
          <w:sz w:val="24"/>
          <w:szCs w:val="24"/>
        </w:rPr>
        <w:t>erforming research as it relates to practice. While research is not a central mandate in this position, given the value placed on integrating science and practice, the clinical professor should be engaged in research as it relates to his/her specific clinical work. This could include, for example, collaborative research within the university, applied</w:t>
      </w:r>
      <w:r w:rsidR="00DA4A66" w:rsidRPr="00EE21E9">
        <w:rPr>
          <w:rFonts w:ascii="Times New Roman" w:hAnsi="Times New Roman"/>
          <w:sz w:val="24"/>
          <w:szCs w:val="24"/>
        </w:rPr>
        <w:t xml:space="preserve"> research with outside clients through independent research projects</w:t>
      </w:r>
      <w:r w:rsidR="00922DBB">
        <w:rPr>
          <w:rFonts w:ascii="Times New Roman" w:hAnsi="Times New Roman"/>
          <w:sz w:val="24"/>
          <w:szCs w:val="24"/>
        </w:rPr>
        <w:t>,</w:t>
      </w:r>
      <w:r w:rsidR="00DA4A66" w:rsidRPr="00EE21E9">
        <w:rPr>
          <w:rFonts w:ascii="Times New Roman" w:hAnsi="Times New Roman"/>
          <w:sz w:val="24"/>
          <w:szCs w:val="24"/>
        </w:rPr>
        <w:t xml:space="preserve"> supervising un</w:t>
      </w:r>
      <w:r w:rsidR="00DA4A66">
        <w:rPr>
          <w:rFonts w:ascii="Times New Roman" w:hAnsi="Times New Roman"/>
          <w:sz w:val="24"/>
          <w:szCs w:val="24"/>
        </w:rPr>
        <w:t>dergraduate or graduate student</w:t>
      </w:r>
      <w:r w:rsidR="00DA4A66" w:rsidRPr="00EE21E9">
        <w:rPr>
          <w:rFonts w:ascii="Times New Roman" w:hAnsi="Times New Roman"/>
          <w:sz w:val="24"/>
          <w:szCs w:val="24"/>
        </w:rPr>
        <w:t xml:space="preserve"> collaborators, or investigation of best practices in </w:t>
      </w:r>
      <w:r w:rsidR="00922DBB">
        <w:rPr>
          <w:rFonts w:ascii="Times New Roman" w:hAnsi="Times New Roman"/>
          <w:sz w:val="24"/>
          <w:szCs w:val="24"/>
        </w:rPr>
        <w:t>engaged anthropology.</w:t>
      </w:r>
      <w:r w:rsidR="00DA4A66" w:rsidRPr="00EE21E9">
        <w:rPr>
          <w:rFonts w:ascii="Times New Roman" w:hAnsi="Times New Roman"/>
          <w:sz w:val="24"/>
          <w:szCs w:val="24"/>
        </w:rPr>
        <w:t xml:space="preserve"> </w:t>
      </w:r>
      <w:r w:rsidR="00DA4A66" w:rsidRPr="00C26308">
        <w:rPr>
          <w:rFonts w:ascii="Times New Roman" w:hAnsi="Times New Roman"/>
          <w:sz w:val="24"/>
          <w:szCs w:val="24"/>
        </w:rPr>
        <w:t>The clinical professor is also encouraged to explore basic processes as they relate to their areas of practice and to pursue publication of research findings as time allows (in technical reports and peer-reviewed outlets).</w:t>
      </w:r>
      <w:r w:rsidR="00F42265">
        <w:rPr>
          <w:rFonts w:ascii="Times New Roman" w:hAnsi="Times New Roman"/>
          <w:sz w:val="24"/>
          <w:szCs w:val="24"/>
        </w:rPr>
        <w:t xml:space="preserve">  Although not a requirement of the research expectations for clinical faculty, application for and reception of grants </w:t>
      </w:r>
      <w:proofErr w:type="gramStart"/>
      <w:r w:rsidR="00F42265">
        <w:rPr>
          <w:rFonts w:ascii="Times New Roman" w:hAnsi="Times New Roman"/>
          <w:sz w:val="24"/>
          <w:szCs w:val="24"/>
        </w:rPr>
        <w:t>can be used</w:t>
      </w:r>
      <w:proofErr w:type="gramEnd"/>
      <w:r w:rsidR="00F42265">
        <w:rPr>
          <w:rFonts w:ascii="Times New Roman" w:hAnsi="Times New Roman"/>
          <w:sz w:val="24"/>
          <w:szCs w:val="24"/>
        </w:rPr>
        <w:t xml:space="preserve"> to document research activity.</w:t>
      </w:r>
    </w:p>
    <w:p w14:paraId="0D035F47" w14:textId="32560D06" w:rsidR="00DD3E74" w:rsidRPr="00757633" w:rsidRDefault="00DD3E74" w:rsidP="00757633">
      <w:pPr>
        <w:pStyle w:val="NormalWeb"/>
        <w:numPr>
          <w:ilvl w:val="0"/>
          <w:numId w:val="5"/>
        </w:numPr>
        <w:rPr>
          <w:rFonts w:ascii="Times New Roman" w:hAnsi="Times New Roman"/>
          <w:sz w:val="24"/>
          <w:szCs w:val="24"/>
        </w:rPr>
      </w:pPr>
      <w:r>
        <w:rPr>
          <w:rFonts w:ascii="Times New Roman" w:hAnsi="Times New Roman"/>
          <w:sz w:val="24"/>
          <w:szCs w:val="24"/>
        </w:rPr>
        <w:t>Specific to the faculty member’s appointment letter, there may be the expectation of service, such as being a member of a student’s committee or serving on departmental committees.</w:t>
      </w:r>
    </w:p>
    <w:p w14:paraId="32378810" w14:textId="77777777" w:rsidR="004D4EB1" w:rsidRDefault="004D4EB1" w:rsidP="004D4EB1">
      <w:pPr>
        <w:spacing w:after="0" w:line="240" w:lineRule="auto"/>
        <w:rPr>
          <w:rFonts w:ascii="Times New Roman" w:hAnsi="Times New Roman" w:cs="Times New Roman"/>
          <w:sz w:val="24"/>
          <w:szCs w:val="24"/>
        </w:rPr>
      </w:pPr>
    </w:p>
    <w:p w14:paraId="176BA52F" w14:textId="433AE47A" w:rsidR="004D4EB1" w:rsidRPr="00360F6F" w:rsidRDefault="004D4EB1" w:rsidP="005E656E">
      <w:pPr>
        <w:spacing w:after="0" w:line="240" w:lineRule="auto"/>
        <w:outlineLvl w:val="0"/>
        <w:rPr>
          <w:rFonts w:ascii="Times New Roman" w:hAnsi="Times New Roman" w:cs="Times New Roman"/>
          <w:b/>
          <w:i/>
          <w:sz w:val="24"/>
          <w:szCs w:val="24"/>
        </w:rPr>
      </w:pPr>
      <w:r w:rsidRPr="00CA79A1">
        <w:rPr>
          <w:rFonts w:ascii="Times New Roman" w:hAnsi="Times New Roman" w:cs="Times New Roman"/>
          <w:b/>
          <w:i/>
          <w:sz w:val="24"/>
          <w:szCs w:val="24"/>
        </w:rPr>
        <w:t xml:space="preserve">Clinical </w:t>
      </w:r>
      <w:r>
        <w:rPr>
          <w:rFonts w:ascii="Times New Roman" w:hAnsi="Times New Roman" w:cs="Times New Roman"/>
          <w:b/>
          <w:i/>
          <w:sz w:val="24"/>
          <w:szCs w:val="24"/>
        </w:rPr>
        <w:t xml:space="preserve">Assistant </w:t>
      </w:r>
      <w:r w:rsidRPr="00360F6F">
        <w:rPr>
          <w:rFonts w:ascii="Times New Roman" w:hAnsi="Times New Roman" w:cs="Times New Roman"/>
          <w:b/>
          <w:i/>
          <w:sz w:val="24"/>
          <w:szCs w:val="24"/>
        </w:rPr>
        <w:t>Professors</w:t>
      </w:r>
    </w:p>
    <w:p w14:paraId="3CF61504" w14:textId="69915CFB" w:rsidR="00B54E1C" w:rsidRDefault="004D4EB1" w:rsidP="00B54E1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Potential appointments to the rank of </w:t>
      </w:r>
      <w:r w:rsidRPr="00CA79A1">
        <w:rPr>
          <w:rFonts w:ascii="Times New Roman" w:hAnsi="Times New Roman" w:cs="Times New Roman"/>
          <w:i/>
          <w:sz w:val="24"/>
          <w:szCs w:val="24"/>
        </w:rPr>
        <w:t>clinical</w:t>
      </w:r>
      <w:r>
        <w:rPr>
          <w:rFonts w:ascii="Times New Roman" w:hAnsi="Times New Roman" w:cs="Times New Roman"/>
          <w:sz w:val="24"/>
          <w:szCs w:val="24"/>
        </w:rPr>
        <w:t xml:space="preserve"> </w:t>
      </w:r>
      <w:r w:rsidRPr="00A53009">
        <w:rPr>
          <w:rFonts w:ascii="Times New Roman" w:hAnsi="Times New Roman" w:cs="Times New Roman"/>
          <w:i/>
          <w:sz w:val="24"/>
          <w:szCs w:val="24"/>
        </w:rPr>
        <w:t>assistant professor</w:t>
      </w:r>
      <w:r>
        <w:rPr>
          <w:rFonts w:ascii="Times New Roman" w:hAnsi="Times New Roman" w:cs="Times New Roman"/>
          <w:sz w:val="24"/>
          <w:szCs w:val="24"/>
        </w:rPr>
        <w:t xml:space="preserve"> will be evaluated by the department’s </w:t>
      </w:r>
      <w:r w:rsidR="00DA4A66">
        <w:rPr>
          <w:rFonts w:ascii="Times New Roman" w:hAnsi="Times New Roman" w:cs="Times New Roman"/>
          <w:sz w:val="24"/>
          <w:szCs w:val="24"/>
        </w:rPr>
        <w:t>Advisory</w:t>
      </w:r>
      <w:r w:rsidRPr="00211C0E">
        <w:rPr>
          <w:rFonts w:ascii="Times New Roman" w:hAnsi="Times New Roman" w:cs="Times New Roman"/>
          <w:sz w:val="24"/>
          <w:szCs w:val="24"/>
        </w:rPr>
        <w:t xml:space="preserve"> Committee</w:t>
      </w:r>
      <w:proofErr w:type="gramEnd"/>
      <w:r>
        <w:rPr>
          <w:rFonts w:ascii="Times New Roman" w:hAnsi="Times New Roman" w:cs="Times New Roman"/>
          <w:sz w:val="24"/>
          <w:szCs w:val="24"/>
        </w:rPr>
        <w:t xml:space="preserve">. To earn the title of clinical assistant professor, prospective candidates must provide evidence that they are excellent teachers and that </w:t>
      </w:r>
      <w:r w:rsidR="00B54E1C">
        <w:rPr>
          <w:rFonts w:ascii="Times New Roman" w:hAnsi="Times New Roman" w:cs="Times New Roman"/>
          <w:sz w:val="24"/>
          <w:szCs w:val="24"/>
        </w:rPr>
        <w:t>they hav</w:t>
      </w:r>
      <w:r w:rsidR="0010400A">
        <w:rPr>
          <w:rFonts w:ascii="Times New Roman" w:hAnsi="Times New Roman" w:cs="Times New Roman"/>
          <w:sz w:val="24"/>
          <w:szCs w:val="24"/>
        </w:rPr>
        <w:t>e</w:t>
      </w:r>
      <w:r w:rsidR="00B54E1C">
        <w:rPr>
          <w:rFonts w:ascii="Times New Roman" w:hAnsi="Times New Roman" w:cs="Times New Roman"/>
          <w:sz w:val="24"/>
          <w:szCs w:val="24"/>
        </w:rPr>
        <w:t xml:space="preserve"> specialized knowledge gained from practical experience in their discipline that will advance the curricular and service needs of the department.</w:t>
      </w:r>
    </w:p>
    <w:p w14:paraId="55A6D39A" w14:textId="427FD408" w:rsidR="004D4EB1" w:rsidRDefault="004D4EB1" w:rsidP="004D4EB1">
      <w:pPr>
        <w:spacing w:after="0" w:line="240" w:lineRule="auto"/>
        <w:rPr>
          <w:rFonts w:ascii="Times New Roman" w:hAnsi="Times New Roman" w:cs="Times New Roman"/>
          <w:sz w:val="24"/>
          <w:szCs w:val="24"/>
        </w:rPr>
      </w:pPr>
    </w:p>
    <w:p w14:paraId="7C10A32B" w14:textId="243A00D5" w:rsidR="004D4EB1" w:rsidRDefault="004D4EB1" w:rsidP="005E656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for appointment as clinical assistant professor, candidates provide:</w:t>
      </w:r>
    </w:p>
    <w:p w14:paraId="25509BDD" w14:textId="77777777" w:rsidR="004D4EB1" w:rsidRDefault="004D4EB1" w:rsidP="00CA79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complete longitudinal record of ICES scores (or equivalent teaching evaluations, if coming from another institution).</w:t>
      </w:r>
    </w:p>
    <w:p w14:paraId="20782EB3" w14:textId="77777777" w:rsidR="004D4EB1" w:rsidRDefault="004D4EB1" w:rsidP="00CA79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Their curriculum vitae.</w:t>
      </w:r>
    </w:p>
    <w:p w14:paraId="3DA45275" w14:textId="77777777" w:rsidR="004D4EB1" w:rsidRDefault="004D4EB1" w:rsidP="00CA79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teaching statement that summarizes their teaching philosophy and teaching accomplishments, including contributions to the curriculum beyond one’s own classroom (no more than 3 pages, single-spaced).</w:t>
      </w:r>
    </w:p>
    <w:p w14:paraId="63FC2CA4" w14:textId="77777777" w:rsidR="004D4EB1" w:rsidRDefault="004D4EB1" w:rsidP="00CA79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Sample syllabi, assignments, and other teaching materials that provide evidence of the quality of their instruction.</w:t>
      </w:r>
    </w:p>
    <w:p w14:paraId="5C497D1F" w14:textId="77777777" w:rsidR="004D4EB1" w:rsidRDefault="004D4EB1" w:rsidP="00CA79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61552">
        <w:rPr>
          <w:rFonts w:ascii="Times New Roman" w:hAnsi="Times New Roman" w:cs="Times New Roman"/>
          <w:sz w:val="24"/>
          <w:szCs w:val="24"/>
        </w:rPr>
        <w:t xml:space="preserve"> research narrative that describes their current research agenda and plan for contributing scholarship that enhances the department and university and make</w:t>
      </w:r>
      <w:r>
        <w:rPr>
          <w:rFonts w:ascii="Times New Roman" w:hAnsi="Times New Roman" w:cs="Times New Roman"/>
          <w:sz w:val="24"/>
          <w:szCs w:val="24"/>
        </w:rPr>
        <w:t>s</w:t>
      </w:r>
      <w:r w:rsidRPr="00861552">
        <w:rPr>
          <w:rFonts w:ascii="Times New Roman" w:hAnsi="Times New Roman" w:cs="Times New Roman"/>
          <w:sz w:val="24"/>
          <w:szCs w:val="24"/>
        </w:rPr>
        <w:t xml:space="preserve"> an impact beyond the campus.</w:t>
      </w:r>
    </w:p>
    <w:p w14:paraId="0A51FD89" w14:textId="77777777" w:rsidR="004D4EB1" w:rsidRDefault="004D4EB1" w:rsidP="00CA79A1">
      <w:pPr>
        <w:pStyle w:val="ListParagraph"/>
        <w:numPr>
          <w:ilvl w:val="0"/>
          <w:numId w:val="6"/>
        </w:numPr>
        <w:spacing w:after="0" w:line="240" w:lineRule="auto"/>
        <w:rPr>
          <w:rFonts w:ascii="Times New Roman" w:hAnsi="Times New Roman" w:cs="Times New Roman"/>
          <w:sz w:val="24"/>
          <w:szCs w:val="24"/>
        </w:rPr>
      </w:pPr>
      <w:r w:rsidRPr="00F3042A">
        <w:rPr>
          <w:rFonts w:ascii="Times New Roman" w:hAnsi="Times New Roman" w:cs="Times New Roman"/>
          <w:sz w:val="24"/>
          <w:szCs w:val="24"/>
        </w:rPr>
        <w:t xml:space="preserve">Copies of scholarly works (e.g., articles, conference papers) completed. </w:t>
      </w:r>
    </w:p>
    <w:p w14:paraId="06781A22" w14:textId="5F838026" w:rsidR="004D4EB1" w:rsidRPr="00F3042A" w:rsidRDefault="004D4EB1" w:rsidP="00CA79A1">
      <w:pPr>
        <w:pStyle w:val="ListParagraph"/>
        <w:numPr>
          <w:ilvl w:val="0"/>
          <w:numId w:val="6"/>
        </w:numPr>
        <w:spacing w:after="0" w:line="240" w:lineRule="auto"/>
        <w:rPr>
          <w:rFonts w:ascii="Times New Roman" w:hAnsi="Times New Roman" w:cs="Times New Roman"/>
          <w:sz w:val="24"/>
          <w:szCs w:val="24"/>
        </w:rPr>
      </w:pPr>
      <w:r w:rsidRPr="00F3042A">
        <w:rPr>
          <w:rFonts w:ascii="Times New Roman" w:hAnsi="Times New Roman" w:cs="Times New Roman"/>
          <w:sz w:val="24"/>
          <w:szCs w:val="24"/>
        </w:rPr>
        <w:t xml:space="preserve">Three letters of reference that address the qualifications related to the position of </w:t>
      </w:r>
      <w:r w:rsidR="00B54E1C">
        <w:rPr>
          <w:rFonts w:ascii="Times New Roman" w:hAnsi="Times New Roman" w:cs="Times New Roman"/>
          <w:sz w:val="24"/>
          <w:szCs w:val="24"/>
        </w:rPr>
        <w:t>clinical</w:t>
      </w:r>
      <w:r w:rsidRPr="00F3042A">
        <w:rPr>
          <w:rFonts w:ascii="Times New Roman" w:hAnsi="Times New Roman" w:cs="Times New Roman"/>
          <w:sz w:val="24"/>
          <w:szCs w:val="24"/>
        </w:rPr>
        <w:t xml:space="preserve"> assistant professor.</w:t>
      </w:r>
      <w:r>
        <w:rPr>
          <w:rFonts w:ascii="Times New Roman" w:hAnsi="Times New Roman" w:cs="Times New Roman"/>
          <w:sz w:val="24"/>
          <w:szCs w:val="24"/>
        </w:rPr>
        <w:t xml:space="preserve"> </w:t>
      </w:r>
    </w:p>
    <w:p w14:paraId="488F4804" w14:textId="77777777" w:rsidR="004D4EB1" w:rsidRDefault="004D4EB1" w:rsidP="004D4EB1">
      <w:pPr>
        <w:spacing w:after="0" w:line="240" w:lineRule="auto"/>
        <w:rPr>
          <w:rFonts w:ascii="Times New Roman" w:hAnsi="Times New Roman" w:cs="Times New Roman"/>
          <w:sz w:val="24"/>
          <w:szCs w:val="24"/>
        </w:rPr>
      </w:pPr>
    </w:p>
    <w:p w14:paraId="3BCAAE1A" w14:textId="4BA8A918" w:rsidR="004D4EB1" w:rsidRPr="00A53009" w:rsidRDefault="004D4EB1" w:rsidP="005E656E">
      <w:pPr>
        <w:spacing w:after="0" w:line="240" w:lineRule="auto"/>
        <w:outlineLvl w:val="0"/>
        <w:rPr>
          <w:rFonts w:ascii="Times New Roman" w:hAnsi="Times New Roman" w:cs="Times New Roman"/>
          <w:b/>
          <w:i/>
          <w:sz w:val="24"/>
          <w:szCs w:val="24"/>
        </w:rPr>
      </w:pPr>
      <w:r>
        <w:rPr>
          <w:rFonts w:ascii="Times New Roman" w:hAnsi="Times New Roman" w:cs="Times New Roman"/>
          <w:b/>
          <w:i/>
          <w:sz w:val="24"/>
          <w:szCs w:val="24"/>
        </w:rPr>
        <w:t xml:space="preserve">Promotions within the </w:t>
      </w:r>
      <w:r w:rsidR="00DA4A66">
        <w:rPr>
          <w:rFonts w:ascii="Times New Roman" w:hAnsi="Times New Roman" w:cs="Times New Roman"/>
          <w:b/>
          <w:i/>
          <w:sz w:val="24"/>
          <w:szCs w:val="24"/>
        </w:rPr>
        <w:t>Clinical</w:t>
      </w:r>
      <w:r>
        <w:rPr>
          <w:rFonts w:ascii="Times New Roman" w:hAnsi="Times New Roman" w:cs="Times New Roman"/>
          <w:b/>
          <w:i/>
          <w:sz w:val="24"/>
          <w:szCs w:val="24"/>
        </w:rPr>
        <w:t xml:space="preserve"> Professor Ranks</w:t>
      </w:r>
    </w:p>
    <w:p w14:paraId="6985DD74" w14:textId="2BEFF356" w:rsidR="004D4EB1" w:rsidRDefault="004D4EB1" w:rsidP="004D4EB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All promotion cases within the clinical professor ranks will be evaluated at the department level by the </w:t>
      </w:r>
      <w:r w:rsidR="0065767F">
        <w:rPr>
          <w:rFonts w:ascii="Times New Roman" w:hAnsi="Times New Roman" w:cs="Times New Roman"/>
          <w:sz w:val="24"/>
          <w:szCs w:val="24"/>
        </w:rPr>
        <w:t>Advisory</w:t>
      </w:r>
      <w:r w:rsidRPr="00211C0E">
        <w:rPr>
          <w:rFonts w:ascii="Times New Roman" w:hAnsi="Times New Roman" w:cs="Times New Roman"/>
          <w:sz w:val="24"/>
          <w:szCs w:val="24"/>
        </w:rPr>
        <w:t xml:space="preserve"> Committee</w:t>
      </w:r>
      <w:proofErr w:type="gramEnd"/>
      <w:r>
        <w:rPr>
          <w:rFonts w:ascii="Times New Roman" w:hAnsi="Times New Roman" w:cs="Times New Roman"/>
          <w:sz w:val="24"/>
          <w:szCs w:val="24"/>
        </w:rPr>
        <w:t xml:space="preserve">. Information for evaluation beyond the department level </w:t>
      </w:r>
      <w:proofErr w:type="gramStart"/>
      <w:r>
        <w:rPr>
          <w:rFonts w:ascii="Times New Roman" w:hAnsi="Times New Roman" w:cs="Times New Roman"/>
          <w:sz w:val="24"/>
          <w:szCs w:val="24"/>
        </w:rPr>
        <w:t>can be found</w:t>
      </w:r>
      <w:proofErr w:type="gramEnd"/>
      <w:r>
        <w:rPr>
          <w:rFonts w:ascii="Times New Roman" w:hAnsi="Times New Roman" w:cs="Times New Roman"/>
          <w:sz w:val="24"/>
          <w:szCs w:val="24"/>
        </w:rPr>
        <w:t xml:space="preserve"> in Provost Communication 26. </w:t>
      </w:r>
      <w:r w:rsidRPr="00ED172C">
        <w:rPr>
          <w:rFonts w:ascii="Times New Roman" w:hAnsi="Times New Roman" w:cs="Times New Roman"/>
          <w:sz w:val="24"/>
          <w:szCs w:val="24"/>
        </w:rPr>
        <w:t xml:space="preserve">To be eligible for a promotion, the College of Liberal Arts and Sciences normally requires a minimum of 5 years in the current position.  Exceptions </w:t>
      </w:r>
      <w:proofErr w:type="gramStart"/>
      <w:r w:rsidRPr="00ED172C">
        <w:rPr>
          <w:rFonts w:ascii="Times New Roman" w:hAnsi="Times New Roman" w:cs="Times New Roman"/>
          <w:sz w:val="24"/>
          <w:szCs w:val="24"/>
        </w:rPr>
        <w:t>can be made</w:t>
      </w:r>
      <w:proofErr w:type="gramEnd"/>
      <w:r w:rsidRPr="00ED172C">
        <w:rPr>
          <w:rFonts w:ascii="Times New Roman" w:hAnsi="Times New Roman" w:cs="Times New Roman"/>
          <w:sz w:val="24"/>
          <w:szCs w:val="24"/>
        </w:rPr>
        <w:t xml:space="preserve"> with appropriate justification.</w:t>
      </w:r>
    </w:p>
    <w:p w14:paraId="4F8DAC51" w14:textId="77777777" w:rsidR="004D4EB1" w:rsidRDefault="004D4EB1" w:rsidP="004D4EB1">
      <w:pPr>
        <w:spacing w:after="0" w:line="240" w:lineRule="auto"/>
        <w:rPr>
          <w:rFonts w:ascii="Times New Roman" w:hAnsi="Times New Roman" w:cs="Times New Roman"/>
          <w:sz w:val="24"/>
          <w:szCs w:val="24"/>
        </w:rPr>
      </w:pPr>
    </w:p>
    <w:p w14:paraId="45A391B6" w14:textId="5AE268FD" w:rsidR="00757633" w:rsidRDefault="004D4EB1" w:rsidP="00104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Candidates for </w:t>
      </w:r>
      <w:r w:rsidRPr="00CA79A1">
        <w:rPr>
          <w:rFonts w:ascii="Times New Roman" w:hAnsi="Times New Roman" w:cs="Times New Roman"/>
          <w:i/>
          <w:sz w:val="24"/>
          <w:szCs w:val="24"/>
        </w:rPr>
        <w:t>clinical</w:t>
      </w:r>
      <w:r>
        <w:rPr>
          <w:rFonts w:ascii="Times New Roman" w:hAnsi="Times New Roman" w:cs="Times New Roman"/>
          <w:sz w:val="24"/>
          <w:szCs w:val="24"/>
        </w:rPr>
        <w:t xml:space="preserve"> </w:t>
      </w:r>
      <w:r w:rsidRPr="00A53009">
        <w:rPr>
          <w:rFonts w:ascii="Times New Roman" w:hAnsi="Times New Roman" w:cs="Times New Roman"/>
          <w:i/>
          <w:sz w:val="24"/>
          <w:szCs w:val="24"/>
        </w:rPr>
        <w:t>associate professor</w:t>
      </w:r>
      <w:r>
        <w:rPr>
          <w:rFonts w:ascii="Times New Roman" w:hAnsi="Times New Roman" w:cs="Times New Roman"/>
          <w:i/>
          <w:sz w:val="24"/>
          <w:szCs w:val="24"/>
        </w:rPr>
        <w:t xml:space="preserve"> </w:t>
      </w:r>
      <w:r>
        <w:rPr>
          <w:rFonts w:ascii="Times New Roman" w:hAnsi="Times New Roman" w:cs="Times New Roman"/>
          <w:sz w:val="24"/>
          <w:szCs w:val="24"/>
        </w:rPr>
        <w:t xml:space="preserve">must demonstrate that they are excellent teachers and </w:t>
      </w:r>
      <w:r w:rsidR="0010400A">
        <w:rPr>
          <w:rFonts w:ascii="Times New Roman" w:hAnsi="Times New Roman" w:cs="Times New Roman"/>
          <w:sz w:val="24"/>
          <w:szCs w:val="24"/>
        </w:rPr>
        <w:t>performing at a high level in all the primary components of the position</w:t>
      </w:r>
      <w:r w:rsidR="00757633">
        <w:rPr>
          <w:rFonts w:ascii="Times New Roman" w:hAnsi="Times New Roman" w:cs="Times New Roman"/>
          <w:sz w:val="24"/>
          <w:szCs w:val="24"/>
        </w:rPr>
        <w:t xml:space="preserve"> as listed above.</w:t>
      </w:r>
    </w:p>
    <w:p w14:paraId="0CC739F2" w14:textId="77777777" w:rsidR="00757633" w:rsidRDefault="00757633" w:rsidP="0010400A">
      <w:pPr>
        <w:spacing w:after="0" w:line="240" w:lineRule="auto"/>
        <w:rPr>
          <w:rFonts w:ascii="Times New Roman" w:hAnsi="Times New Roman" w:cs="Times New Roman"/>
          <w:sz w:val="24"/>
          <w:szCs w:val="24"/>
        </w:rPr>
      </w:pPr>
    </w:p>
    <w:p w14:paraId="163666F5" w14:textId="18EF01C3" w:rsidR="004D4EB1" w:rsidRDefault="004D4EB1" w:rsidP="005E656E">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Promotion to </w:t>
      </w:r>
      <w:r>
        <w:rPr>
          <w:rFonts w:ascii="Times New Roman" w:hAnsi="Times New Roman" w:cs="Times New Roman"/>
          <w:sz w:val="24"/>
          <w:szCs w:val="24"/>
        </w:rPr>
        <w:t xml:space="preserve">clinical </w:t>
      </w:r>
      <w:r>
        <w:rPr>
          <w:rFonts w:ascii="Times New Roman" w:eastAsia="Times New Roman" w:hAnsi="Times New Roman" w:cs="Times New Roman"/>
          <w:sz w:val="24"/>
          <w:szCs w:val="24"/>
        </w:rPr>
        <w:t xml:space="preserve">associate professor will come with a salary increase.  </w:t>
      </w:r>
    </w:p>
    <w:p w14:paraId="40188957" w14:textId="77777777" w:rsidR="004D4EB1" w:rsidRPr="0070693A" w:rsidRDefault="004D4EB1" w:rsidP="004D4EB1">
      <w:pPr>
        <w:spacing w:after="0" w:line="240" w:lineRule="auto"/>
        <w:rPr>
          <w:rFonts w:ascii="Times New Roman" w:eastAsia="Times New Roman" w:hAnsi="Times New Roman" w:cs="Times New Roman"/>
          <w:sz w:val="24"/>
          <w:szCs w:val="24"/>
        </w:rPr>
      </w:pPr>
    </w:p>
    <w:p w14:paraId="08599B43" w14:textId="19C382CB" w:rsidR="004D4EB1" w:rsidRPr="0070693A" w:rsidRDefault="004D4EB1" w:rsidP="004D4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Candidates for </w:t>
      </w:r>
      <w:r w:rsidRPr="00CA79A1">
        <w:rPr>
          <w:rFonts w:ascii="Times New Roman" w:hAnsi="Times New Roman" w:cs="Times New Roman"/>
          <w:i/>
          <w:sz w:val="24"/>
          <w:szCs w:val="24"/>
        </w:rPr>
        <w:t>clinical</w:t>
      </w:r>
      <w:r>
        <w:rPr>
          <w:rFonts w:ascii="Times New Roman" w:hAnsi="Times New Roman" w:cs="Times New Roman"/>
          <w:sz w:val="24"/>
          <w:szCs w:val="24"/>
        </w:rPr>
        <w:t xml:space="preserve"> </w:t>
      </w:r>
      <w:r w:rsidRPr="00A53009">
        <w:rPr>
          <w:rFonts w:ascii="Times New Roman" w:hAnsi="Times New Roman" w:cs="Times New Roman"/>
          <w:i/>
          <w:sz w:val="24"/>
          <w:szCs w:val="24"/>
        </w:rPr>
        <w:t>full professor</w:t>
      </w:r>
      <w:r>
        <w:rPr>
          <w:rFonts w:ascii="Times New Roman" w:hAnsi="Times New Roman" w:cs="Times New Roman"/>
          <w:sz w:val="24"/>
          <w:szCs w:val="24"/>
        </w:rPr>
        <w:t xml:space="preserve"> must meet the same criteria as clinical associate professors and must demonstrate that they have made a significant impact beyond what </w:t>
      </w:r>
      <w:proofErr w:type="gramStart"/>
      <w:r>
        <w:rPr>
          <w:rFonts w:ascii="Times New Roman" w:hAnsi="Times New Roman" w:cs="Times New Roman"/>
          <w:sz w:val="24"/>
          <w:szCs w:val="24"/>
        </w:rPr>
        <w:t>would be expected</w:t>
      </w:r>
      <w:proofErr w:type="gramEnd"/>
      <w:r>
        <w:rPr>
          <w:rFonts w:ascii="Times New Roman" w:hAnsi="Times New Roman" w:cs="Times New Roman"/>
          <w:sz w:val="24"/>
          <w:szCs w:val="24"/>
        </w:rPr>
        <w:t xml:space="preserve"> for the associate level. As stated in Provost Communication 26, “</w:t>
      </w:r>
      <w:r w:rsidR="00B54E1C" w:rsidRPr="0070693A">
        <w:rPr>
          <w:rFonts w:ascii="Times New Roman" w:hAnsi="Times New Roman" w:cs="Times New Roman"/>
          <w:sz w:val="24"/>
          <w:szCs w:val="24"/>
        </w:rPr>
        <w:t>Promotion to the rank of</w:t>
      </w:r>
      <w:r w:rsidR="00B54E1C">
        <w:rPr>
          <w:rFonts w:ascii="Times New Roman" w:hAnsi="Times New Roman" w:cs="Times New Roman"/>
          <w:sz w:val="24"/>
          <w:szCs w:val="24"/>
        </w:rPr>
        <w:t xml:space="preserve"> clinical </w:t>
      </w:r>
      <w:r w:rsidR="00B54E1C" w:rsidRPr="0070693A">
        <w:rPr>
          <w:rFonts w:ascii="Times New Roman" w:hAnsi="Times New Roman" w:cs="Times New Roman"/>
          <w:sz w:val="24"/>
          <w:szCs w:val="24"/>
        </w:rPr>
        <w:t xml:space="preserve">professor should be based </w:t>
      </w:r>
      <w:r w:rsidR="00B54E1C">
        <w:rPr>
          <w:rFonts w:ascii="Times New Roman" w:hAnsi="Times New Roman" w:cs="Times New Roman"/>
          <w:sz w:val="24"/>
          <w:szCs w:val="24"/>
        </w:rPr>
        <w:t>upon promise fulfilled… including evidence of appropriate accomplishments in the relevant field.</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Promotion to </w:t>
      </w:r>
      <w:r>
        <w:rPr>
          <w:rFonts w:ascii="Times New Roman" w:hAnsi="Times New Roman" w:cs="Times New Roman"/>
          <w:sz w:val="24"/>
          <w:szCs w:val="24"/>
        </w:rPr>
        <w:t xml:space="preserve">clinical </w:t>
      </w:r>
      <w:r>
        <w:rPr>
          <w:rFonts w:ascii="Times New Roman" w:eastAsia="Times New Roman" w:hAnsi="Times New Roman" w:cs="Times New Roman"/>
          <w:sz w:val="24"/>
          <w:szCs w:val="24"/>
        </w:rPr>
        <w:t>full professor will come with a salary increase.</w:t>
      </w:r>
    </w:p>
    <w:p w14:paraId="70A605D8" w14:textId="77777777" w:rsidR="004D4EB1" w:rsidRDefault="004D4EB1" w:rsidP="004D4EB1">
      <w:pPr>
        <w:spacing w:after="0" w:line="240" w:lineRule="auto"/>
        <w:rPr>
          <w:rFonts w:ascii="Times New Roman" w:hAnsi="Times New Roman" w:cs="Times New Roman"/>
          <w:sz w:val="24"/>
          <w:szCs w:val="24"/>
        </w:rPr>
      </w:pPr>
    </w:p>
    <w:p w14:paraId="2C3B2BA0" w14:textId="27F6FEE4" w:rsidR="004D4EB1" w:rsidRDefault="004D4EB1" w:rsidP="004D4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for appointment as, or promotion to, clinical associate professor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clinical full professor, candidates must submit:</w:t>
      </w:r>
    </w:p>
    <w:p w14:paraId="75057236" w14:textId="77777777" w:rsidR="004D4EB1" w:rsidRDefault="004D4EB1" w:rsidP="00CA79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complete longitudinal record of ICES scores (or equivalent teaching evaluations, if coming from another institution).</w:t>
      </w:r>
    </w:p>
    <w:p w14:paraId="6CFB80B1" w14:textId="77777777" w:rsidR="004D4EB1" w:rsidRDefault="004D4EB1" w:rsidP="00CA79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Their curriculum vitae.</w:t>
      </w:r>
    </w:p>
    <w:p w14:paraId="078508E8" w14:textId="77777777" w:rsidR="004D4EB1" w:rsidRDefault="004D4EB1" w:rsidP="00CA79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teaching statement that summarizes their teaching philosophy and teaching accomplishments, including contributions to the curriculum beyond one’s own classroom (no more than 3 pages single spaced).</w:t>
      </w:r>
    </w:p>
    <w:p w14:paraId="15B35079" w14:textId="77777777" w:rsidR="004D4EB1" w:rsidRDefault="004D4EB1" w:rsidP="00CA79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Sample syllabi, assignments, and other teaching materials that provide evidence of the quality of their instruction.</w:t>
      </w:r>
    </w:p>
    <w:p w14:paraId="1B230189" w14:textId="77777777" w:rsidR="004D4EB1" w:rsidRDefault="004D4EB1" w:rsidP="00CA79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61552">
        <w:rPr>
          <w:rFonts w:ascii="Times New Roman" w:hAnsi="Times New Roman" w:cs="Times New Roman"/>
          <w:sz w:val="24"/>
          <w:szCs w:val="24"/>
        </w:rPr>
        <w:t xml:space="preserve"> research narrative that describes their current research agenda and plan for contributing scholarship that enhances the department and university and make an impact beyond the campus.</w:t>
      </w:r>
    </w:p>
    <w:p w14:paraId="28FE9480" w14:textId="77777777" w:rsidR="004D4EB1" w:rsidRDefault="004D4EB1" w:rsidP="00CA79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Copies of scholarly works (e.g., articles, conference papers) completed since their last promotion. </w:t>
      </w:r>
    </w:p>
    <w:p w14:paraId="4993C106" w14:textId="77777777" w:rsidR="004D4EB1" w:rsidRDefault="004D4EB1" w:rsidP="004D4EB1">
      <w:pPr>
        <w:spacing w:after="0" w:line="240" w:lineRule="auto"/>
        <w:rPr>
          <w:rFonts w:ascii="Times New Roman" w:hAnsi="Times New Roman" w:cs="Times New Roman"/>
          <w:sz w:val="24"/>
          <w:szCs w:val="24"/>
        </w:rPr>
      </w:pPr>
    </w:p>
    <w:p w14:paraId="4460EACE" w14:textId="7C733CC3" w:rsidR="004D4EB1" w:rsidRDefault="004D4EB1" w:rsidP="004D4EB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Additionally, as part of the review process, two senior faculty members will observe and evaluate faculty currently at Illinois who are seeking promotion within the </w:t>
      </w:r>
      <w:r w:rsidR="00992C87">
        <w:rPr>
          <w:rFonts w:ascii="Times New Roman" w:hAnsi="Times New Roman" w:cs="Times New Roman"/>
          <w:sz w:val="24"/>
          <w:szCs w:val="24"/>
        </w:rPr>
        <w:t xml:space="preserve">clinical </w:t>
      </w:r>
      <w:r>
        <w:rPr>
          <w:rFonts w:ascii="Times New Roman" w:hAnsi="Times New Roman" w:cs="Times New Roman"/>
          <w:sz w:val="24"/>
          <w:szCs w:val="24"/>
        </w:rPr>
        <w:t xml:space="preserve">professor ranks. The faculty evaluators will prepare an assessment of the candidate’s teaching based on both direct observation of teaching and a review of the </w:t>
      </w:r>
      <w:proofErr w:type="gramStart"/>
      <w:r>
        <w:rPr>
          <w:rFonts w:ascii="Times New Roman" w:hAnsi="Times New Roman" w:cs="Times New Roman"/>
          <w:sz w:val="24"/>
          <w:szCs w:val="24"/>
        </w:rPr>
        <w:t>candidate’s</w:t>
      </w:r>
      <w:proofErr w:type="gramEnd"/>
      <w:r>
        <w:rPr>
          <w:rFonts w:ascii="Times New Roman" w:hAnsi="Times New Roman" w:cs="Times New Roman"/>
          <w:sz w:val="24"/>
          <w:szCs w:val="24"/>
        </w:rPr>
        <w:t xml:space="preserve"> teaching materials (e.g., syllabi, assignments). </w:t>
      </w:r>
    </w:p>
    <w:p w14:paraId="551CC2B1" w14:textId="77777777" w:rsidR="004D4EB1" w:rsidRDefault="004D4EB1" w:rsidP="004D4EB1">
      <w:pPr>
        <w:spacing w:after="0" w:line="240" w:lineRule="auto"/>
        <w:rPr>
          <w:rFonts w:ascii="Times New Roman" w:hAnsi="Times New Roman" w:cs="Times New Roman"/>
          <w:sz w:val="24"/>
          <w:szCs w:val="24"/>
        </w:rPr>
      </w:pPr>
    </w:p>
    <w:p w14:paraId="4B65E2AE" w14:textId="3721D6C5" w:rsidR="004D4EB1" w:rsidRPr="000E02FC" w:rsidRDefault="004D4EB1" w:rsidP="004D4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Individuals not currently teaching at Illinois </w:t>
      </w:r>
      <w:proofErr w:type="gramStart"/>
      <w:r>
        <w:rPr>
          <w:rFonts w:ascii="Times New Roman" w:hAnsi="Times New Roman" w:cs="Times New Roman"/>
          <w:sz w:val="24"/>
          <w:szCs w:val="24"/>
        </w:rPr>
        <w:t>cannot be observed</w:t>
      </w:r>
      <w:proofErr w:type="gramEnd"/>
      <w:r>
        <w:rPr>
          <w:rFonts w:ascii="Times New Roman" w:hAnsi="Times New Roman" w:cs="Times New Roman"/>
          <w:sz w:val="24"/>
          <w:szCs w:val="24"/>
        </w:rPr>
        <w:t xml:space="preserve">, but instead must ask that at least three letters of reference be provided to the </w:t>
      </w:r>
      <w:r w:rsidR="0010400A">
        <w:rPr>
          <w:rFonts w:ascii="Times New Roman" w:hAnsi="Times New Roman" w:cs="Times New Roman"/>
          <w:sz w:val="24"/>
          <w:szCs w:val="24"/>
        </w:rPr>
        <w:t>Advisory</w:t>
      </w:r>
      <w:r>
        <w:rPr>
          <w:rFonts w:ascii="Times New Roman" w:hAnsi="Times New Roman" w:cs="Times New Roman"/>
          <w:sz w:val="24"/>
          <w:szCs w:val="24"/>
        </w:rPr>
        <w:t xml:space="preserve"> Committee. If recent letters of reference are otherwise available to the committee (e.g., the prospective appointment is part of a current search for which letters of reference were required), those letters will suffice so long as they address the qualifications related to the respective rank. The strong preference is for at least two of the letters to come from individuals who have directly observed the </w:t>
      </w:r>
      <w:proofErr w:type="gramStart"/>
      <w:r>
        <w:rPr>
          <w:rFonts w:ascii="Times New Roman" w:hAnsi="Times New Roman" w:cs="Times New Roman"/>
          <w:sz w:val="24"/>
          <w:szCs w:val="24"/>
        </w:rPr>
        <w:t>candidate’s</w:t>
      </w:r>
      <w:proofErr w:type="gramEnd"/>
      <w:r>
        <w:rPr>
          <w:rFonts w:ascii="Times New Roman" w:hAnsi="Times New Roman" w:cs="Times New Roman"/>
          <w:sz w:val="24"/>
          <w:szCs w:val="24"/>
        </w:rPr>
        <w:t xml:space="preserve"> teaching.</w:t>
      </w:r>
    </w:p>
    <w:p w14:paraId="1EB61A02" w14:textId="77777777" w:rsidR="004D4EB1" w:rsidRDefault="004D4EB1" w:rsidP="004D4EB1">
      <w:pPr>
        <w:spacing w:after="0" w:line="240" w:lineRule="auto"/>
        <w:rPr>
          <w:rFonts w:ascii="Times New Roman" w:hAnsi="Times New Roman" w:cs="Times New Roman"/>
          <w:sz w:val="24"/>
          <w:szCs w:val="24"/>
        </w:rPr>
      </w:pPr>
    </w:p>
    <w:p w14:paraId="4B108EAD" w14:textId="61CFBA8F" w:rsidR="004D4EB1" w:rsidRDefault="004D4EB1" w:rsidP="004D4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according to Provost Communication 26, promotion within the ranks of </w:t>
      </w:r>
      <w:r w:rsidR="00992C87">
        <w:rPr>
          <w:rFonts w:ascii="Times New Roman" w:hAnsi="Times New Roman" w:cs="Times New Roman"/>
          <w:sz w:val="24"/>
          <w:szCs w:val="24"/>
        </w:rPr>
        <w:t xml:space="preserve">clinical </w:t>
      </w:r>
      <w:r>
        <w:rPr>
          <w:rFonts w:ascii="Times New Roman" w:hAnsi="Times New Roman" w:cs="Times New Roman"/>
          <w:sz w:val="24"/>
          <w:szCs w:val="24"/>
        </w:rPr>
        <w:t xml:space="preserve">professors (or appointment above the rank of assistant </w:t>
      </w:r>
      <w:r w:rsidR="00992C87">
        <w:rPr>
          <w:rFonts w:ascii="Times New Roman" w:hAnsi="Times New Roman" w:cs="Times New Roman"/>
          <w:sz w:val="24"/>
          <w:szCs w:val="24"/>
        </w:rPr>
        <w:t xml:space="preserve">clinical </w:t>
      </w:r>
      <w:r>
        <w:rPr>
          <w:rFonts w:ascii="Times New Roman" w:hAnsi="Times New Roman" w:cs="Times New Roman"/>
          <w:sz w:val="24"/>
          <w:szCs w:val="24"/>
        </w:rPr>
        <w:t>professor) requires external review by a minimum of “t</w:t>
      </w:r>
      <w:r w:rsidRPr="004D44A2">
        <w:rPr>
          <w:rFonts w:ascii="Times New Roman" w:hAnsi="Times New Roman" w:cs="Times New Roman"/>
          <w:sz w:val="24"/>
          <w:szCs w:val="24"/>
        </w:rPr>
        <w:t>hree</w:t>
      </w:r>
      <w:r>
        <w:rPr>
          <w:rFonts w:ascii="Times New Roman" w:hAnsi="Times New Roman" w:cs="Times New Roman"/>
          <w:sz w:val="24"/>
          <w:szCs w:val="24"/>
        </w:rPr>
        <w:t xml:space="preserve"> </w:t>
      </w:r>
      <w:r w:rsidRPr="004D44A2">
        <w:rPr>
          <w:rFonts w:ascii="Times New Roman" w:hAnsi="Times New Roman" w:cs="Times New Roman"/>
          <w:sz w:val="24"/>
          <w:szCs w:val="24"/>
        </w:rPr>
        <w:t>scholars or professional specialists</w:t>
      </w:r>
      <w:r>
        <w:rPr>
          <w:rFonts w:ascii="Times New Roman" w:hAnsi="Times New Roman" w:cs="Times New Roman"/>
          <w:sz w:val="24"/>
          <w:szCs w:val="24"/>
        </w:rPr>
        <w:t xml:space="preserve"> </w:t>
      </w:r>
      <w:r w:rsidRPr="004D44A2">
        <w:rPr>
          <w:rFonts w:ascii="Times New Roman" w:hAnsi="Times New Roman" w:cs="Times New Roman"/>
          <w:sz w:val="24"/>
          <w:szCs w:val="24"/>
        </w:rPr>
        <w:t>outside the</w:t>
      </w:r>
      <w:r>
        <w:rPr>
          <w:rFonts w:ascii="Times New Roman" w:hAnsi="Times New Roman" w:cs="Times New Roman"/>
          <w:sz w:val="24"/>
          <w:szCs w:val="24"/>
        </w:rPr>
        <w:t xml:space="preserve"> </w:t>
      </w:r>
      <w:r w:rsidRPr="004D44A2">
        <w:rPr>
          <w:rFonts w:ascii="Times New Roman" w:hAnsi="Times New Roman" w:cs="Times New Roman"/>
          <w:sz w:val="24"/>
          <w:szCs w:val="24"/>
        </w:rPr>
        <w:t>University</w:t>
      </w:r>
      <w:r>
        <w:rPr>
          <w:rFonts w:ascii="Times New Roman" w:hAnsi="Times New Roman" w:cs="Times New Roman"/>
          <w:sz w:val="24"/>
          <w:szCs w:val="24"/>
        </w:rPr>
        <w:t>.” The external reviewers must come from comparable institutions and must not have any conflict of interest in doing an evaluation. If viewed as helpful in a particular case, the Head may also ask for letters of evaluation from individuals outside the department but on campus.  Please note- these letters are not the external review letters required by Provost Communication 26.  See Communication 26 for more information.</w:t>
      </w:r>
    </w:p>
    <w:p w14:paraId="7934F895" w14:textId="5960918C" w:rsidR="004E3B88" w:rsidRDefault="004E3B88" w:rsidP="004D4EB1">
      <w:pPr>
        <w:spacing w:after="0" w:line="240" w:lineRule="auto"/>
        <w:rPr>
          <w:rFonts w:ascii="Times New Roman" w:hAnsi="Times New Roman" w:cs="Times New Roman"/>
          <w:sz w:val="24"/>
          <w:szCs w:val="24"/>
        </w:rPr>
      </w:pPr>
    </w:p>
    <w:p w14:paraId="3CA18068" w14:textId="1AC7DA4D" w:rsidR="004E3B88" w:rsidRDefault="004E3B88" w:rsidP="004E3B88">
      <w:pPr>
        <w:pStyle w:val="ListParagraph"/>
        <w:spacing w:after="0" w:line="240" w:lineRule="auto"/>
        <w:ind w:left="0"/>
        <w:contextualSpacing w:val="0"/>
        <w:jc w:val="center"/>
        <w:rPr>
          <w:rFonts w:ascii="Times New Roman" w:hAnsi="Times New Roman"/>
          <w:b/>
          <w:sz w:val="24"/>
          <w:szCs w:val="24"/>
        </w:rPr>
      </w:pPr>
      <w:r w:rsidRPr="008A6B6A">
        <w:rPr>
          <w:rFonts w:ascii="Times New Roman" w:hAnsi="Times New Roman"/>
          <w:b/>
          <w:sz w:val="24"/>
          <w:szCs w:val="24"/>
        </w:rPr>
        <w:t xml:space="preserve">Voting Rights of </w:t>
      </w:r>
      <w:r>
        <w:rPr>
          <w:rFonts w:ascii="Times New Roman" w:hAnsi="Times New Roman"/>
          <w:b/>
          <w:sz w:val="24"/>
          <w:szCs w:val="24"/>
        </w:rPr>
        <w:t xml:space="preserve">and Service Expectations for all </w:t>
      </w:r>
      <w:r w:rsidRPr="008A6B6A">
        <w:rPr>
          <w:rFonts w:ascii="Times New Roman" w:hAnsi="Times New Roman"/>
          <w:b/>
          <w:sz w:val="24"/>
          <w:szCs w:val="24"/>
        </w:rPr>
        <w:t>Specialized Faculty</w:t>
      </w:r>
    </w:p>
    <w:p w14:paraId="1AC7F2D8" w14:textId="77777777" w:rsidR="004E3B88" w:rsidRPr="008A6B6A" w:rsidRDefault="004E3B88" w:rsidP="004E3B88">
      <w:pPr>
        <w:pStyle w:val="ListParagraph"/>
        <w:spacing w:after="0" w:line="240" w:lineRule="auto"/>
        <w:ind w:left="0"/>
        <w:contextualSpacing w:val="0"/>
        <w:jc w:val="center"/>
        <w:rPr>
          <w:rFonts w:ascii="Times New Roman" w:hAnsi="Times New Roman"/>
          <w:b/>
          <w:sz w:val="24"/>
          <w:szCs w:val="24"/>
        </w:rPr>
      </w:pPr>
    </w:p>
    <w:p w14:paraId="03BC12E0" w14:textId="48AE0D78" w:rsidR="004E3B88" w:rsidRDefault="004E3B88" w:rsidP="004E3B88">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 xml:space="preserve">Specialized faculty may attend faculty meetings. They have both voice and vote on non-personnel decisions. They have voice but no vote on hiring decisions. They have voice </w:t>
      </w:r>
      <w:r w:rsidR="0015613A">
        <w:rPr>
          <w:rFonts w:ascii="Times New Roman" w:hAnsi="Times New Roman"/>
          <w:sz w:val="24"/>
          <w:szCs w:val="24"/>
        </w:rPr>
        <w:t>but not</w:t>
      </w:r>
      <w:r>
        <w:rPr>
          <w:rFonts w:ascii="Times New Roman" w:hAnsi="Times New Roman"/>
          <w:sz w:val="24"/>
          <w:szCs w:val="24"/>
        </w:rPr>
        <w:t xml:space="preserve"> vote on graduate admissions </w:t>
      </w:r>
      <w:r w:rsidR="0015613A">
        <w:rPr>
          <w:rFonts w:ascii="Times New Roman" w:hAnsi="Times New Roman"/>
          <w:sz w:val="24"/>
          <w:szCs w:val="24"/>
        </w:rPr>
        <w:t>and</w:t>
      </w:r>
      <w:r>
        <w:rPr>
          <w:rFonts w:ascii="Times New Roman" w:hAnsi="Times New Roman"/>
          <w:sz w:val="24"/>
          <w:szCs w:val="24"/>
        </w:rPr>
        <w:t xml:space="preserve"> they may serve as one of the </w:t>
      </w:r>
      <w:proofErr w:type="gramStart"/>
      <w:r>
        <w:rPr>
          <w:rFonts w:ascii="Times New Roman" w:hAnsi="Times New Roman"/>
          <w:sz w:val="24"/>
          <w:szCs w:val="24"/>
        </w:rPr>
        <w:t>three anthropology</w:t>
      </w:r>
      <w:proofErr w:type="gramEnd"/>
      <w:r>
        <w:rPr>
          <w:rFonts w:ascii="Times New Roman" w:hAnsi="Times New Roman"/>
          <w:sz w:val="24"/>
          <w:szCs w:val="24"/>
        </w:rPr>
        <w:t xml:space="preserve"> faculty on graduate committees. </w:t>
      </w:r>
      <w:r w:rsidRPr="008A6B6A">
        <w:rPr>
          <w:rFonts w:ascii="Times New Roman" w:hAnsi="Times New Roman"/>
          <w:sz w:val="24"/>
          <w:szCs w:val="24"/>
        </w:rPr>
        <w:t>For some specialized faculty, mentoring students may be a component of their responsibilities.</w:t>
      </w:r>
      <w:r>
        <w:rPr>
          <w:rFonts w:ascii="Times New Roman" w:hAnsi="Times New Roman"/>
          <w:sz w:val="24"/>
          <w:szCs w:val="24"/>
        </w:rPr>
        <w:t xml:space="preserve"> They may not chair graduate committees. There are no general service expectations for </w:t>
      </w:r>
      <w:r w:rsidR="004C6F0A">
        <w:rPr>
          <w:rFonts w:ascii="Times New Roman" w:hAnsi="Times New Roman"/>
          <w:sz w:val="24"/>
          <w:szCs w:val="24"/>
        </w:rPr>
        <w:t xml:space="preserve">most </w:t>
      </w:r>
      <w:r>
        <w:rPr>
          <w:rFonts w:ascii="Times New Roman" w:hAnsi="Times New Roman"/>
          <w:sz w:val="24"/>
          <w:szCs w:val="24"/>
        </w:rPr>
        <w:t>specialized faculty,</w:t>
      </w:r>
      <w:r w:rsidRPr="008A6B6A">
        <w:rPr>
          <w:rFonts w:ascii="Times New Roman" w:hAnsi="Times New Roman"/>
          <w:sz w:val="24"/>
          <w:szCs w:val="24"/>
        </w:rPr>
        <w:t xml:space="preserve"> although specialized faculty may contribute to committees with tasks directly related to their appointment (e.g., a teaching professor might serve on a curriculum committee).</w:t>
      </w:r>
      <w:r w:rsidR="004C6F0A" w:rsidRPr="004C6F0A">
        <w:t xml:space="preserve"> </w:t>
      </w:r>
      <w:r w:rsidR="004C6F0A" w:rsidRPr="004C6F0A">
        <w:rPr>
          <w:rFonts w:ascii="Times New Roman" w:hAnsi="Times New Roman"/>
          <w:sz w:val="24"/>
          <w:szCs w:val="24"/>
        </w:rPr>
        <w:t xml:space="preserve">There are service expectations </w:t>
      </w:r>
      <w:proofErr w:type="gramStart"/>
      <w:r w:rsidR="004C6F0A" w:rsidRPr="004C6F0A">
        <w:rPr>
          <w:rFonts w:ascii="Times New Roman" w:hAnsi="Times New Roman"/>
          <w:sz w:val="24"/>
          <w:szCs w:val="24"/>
        </w:rPr>
        <w:t>for Teaching Professorial positions (all ranks) as listed under the section on “Professorial Expectations (For All Ranks of Teaching Professors).”</w:t>
      </w:r>
      <w:proofErr w:type="gramEnd"/>
      <w:r w:rsidR="003817D8">
        <w:rPr>
          <w:rFonts w:ascii="Times New Roman" w:hAnsi="Times New Roman"/>
          <w:sz w:val="24"/>
          <w:szCs w:val="24"/>
        </w:rPr>
        <w:t xml:space="preserve">  </w:t>
      </w:r>
      <w:r w:rsidR="003817D8" w:rsidRPr="003817D8">
        <w:rPr>
          <w:rFonts w:ascii="Times New Roman" w:hAnsi="Times New Roman"/>
          <w:sz w:val="24"/>
          <w:szCs w:val="24"/>
        </w:rPr>
        <w:t xml:space="preserve">There are no general service expectations for most specialized faculty, although specialized faculty may contribute to committees with tasks directly related to their appointment (e.g., a teaching professor might serve on a curriculum committee).  There are service expectations </w:t>
      </w:r>
      <w:proofErr w:type="gramStart"/>
      <w:r w:rsidR="003817D8" w:rsidRPr="003817D8">
        <w:rPr>
          <w:rFonts w:ascii="Times New Roman" w:hAnsi="Times New Roman"/>
          <w:sz w:val="24"/>
          <w:szCs w:val="24"/>
        </w:rPr>
        <w:t>for Teaching Professorial positions (all ranks) as listed under the section on “Professorial Expectations (For All Ranks of Teaching Professors).</w:t>
      </w:r>
      <w:proofErr w:type="gramEnd"/>
    </w:p>
    <w:p w14:paraId="5BA87165" w14:textId="3B8DC5BF" w:rsidR="007E4CA4" w:rsidRDefault="007E4CA4" w:rsidP="004E3B88">
      <w:pPr>
        <w:pStyle w:val="ListParagraph"/>
        <w:spacing w:after="0" w:line="240" w:lineRule="auto"/>
        <w:ind w:left="0"/>
        <w:contextualSpacing w:val="0"/>
        <w:rPr>
          <w:rFonts w:ascii="Times New Roman" w:hAnsi="Times New Roman"/>
          <w:sz w:val="24"/>
          <w:szCs w:val="24"/>
        </w:rPr>
      </w:pPr>
    </w:p>
    <w:p w14:paraId="48E7FB77" w14:textId="1911B897" w:rsidR="007E4CA4" w:rsidRPr="007B281A" w:rsidRDefault="007E4CA4" w:rsidP="007B281A">
      <w:pPr>
        <w:pStyle w:val="ListParagraph"/>
        <w:spacing w:after="0" w:line="240" w:lineRule="auto"/>
        <w:ind w:left="0"/>
        <w:contextualSpacing w:val="0"/>
        <w:jc w:val="center"/>
        <w:rPr>
          <w:rFonts w:ascii="Times New Roman" w:hAnsi="Times New Roman"/>
          <w:b/>
          <w:sz w:val="24"/>
          <w:szCs w:val="24"/>
        </w:rPr>
      </w:pPr>
      <w:r w:rsidRPr="007B281A">
        <w:rPr>
          <w:rFonts w:ascii="Times New Roman" w:hAnsi="Times New Roman"/>
          <w:b/>
          <w:sz w:val="24"/>
          <w:szCs w:val="24"/>
        </w:rPr>
        <w:t>Annual Evaluation of all Specialized Faculty</w:t>
      </w:r>
    </w:p>
    <w:p w14:paraId="57E343DC" w14:textId="7DBC694E" w:rsidR="007E4CA4" w:rsidRDefault="007E4CA4" w:rsidP="004E3B88">
      <w:pPr>
        <w:pStyle w:val="ListParagraph"/>
        <w:spacing w:after="0" w:line="240" w:lineRule="auto"/>
        <w:ind w:left="0"/>
        <w:contextualSpacing w:val="0"/>
        <w:rPr>
          <w:rFonts w:ascii="Times New Roman" w:hAnsi="Times New Roman"/>
          <w:sz w:val="24"/>
          <w:szCs w:val="24"/>
        </w:rPr>
      </w:pPr>
    </w:p>
    <w:p w14:paraId="48BD59D5" w14:textId="7BAC45AF" w:rsidR="004D4EB1" w:rsidRDefault="007B281A" w:rsidP="004D77F7">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 xml:space="preserve">By April </w:t>
      </w:r>
      <w:proofErr w:type="gramStart"/>
      <w:r>
        <w:rPr>
          <w:rFonts w:ascii="Times New Roman" w:hAnsi="Times New Roman"/>
          <w:sz w:val="24"/>
          <w:szCs w:val="24"/>
        </w:rPr>
        <w:t>15</w:t>
      </w:r>
      <w:r w:rsidRPr="007B281A">
        <w:rPr>
          <w:rFonts w:ascii="Times New Roman" w:hAnsi="Times New Roman"/>
          <w:sz w:val="24"/>
          <w:szCs w:val="24"/>
          <w:vertAlign w:val="superscript"/>
        </w:rPr>
        <w:t>th</w:t>
      </w:r>
      <w:proofErr w:type="gramEnd"/>
      <w:r>
        <w:rPr>
          <w:rFonts w:ascii="Times New Roman" w:hAnsi="Times New Roman"/>
          <w:sz w:val="24"/>
          <w:szCs w:val="24"/>
        </w:rPr>
        <w:t xml:space="preserve"> </w:t>
      </w:r>
      <w:r w:rsidR="007E4CA4">
        <w:rPr>
          <w:rFonts w:ascii="Times New Roman" w:hAnsi="Times New Roman"/>
          <w:sz w:val="24"/>
          <w:szCs w:val="24"/>
        </w:rPr>
        <w:t>of every year</w:t>
      </w:r>
      <w:r w:rsidR="007E4CA4" w:rsidRPr="007E4CA4">
        <w:rPr>
          <w:rFonts w:ascii="Times New Roman" w:hAnsi="Times New Roman"/>
          <w:sz w:val="24"/>
          <w:szCs w:val="24"/>
        </w:rPr>
        <w:t xml:space="preserve"> all specialized faculty will be evaluated by the</w:t>
      </w:r>
      <w:r w:rsidR="007E4CA4">
        <w:rPr>
          <w:rFonts w:ascii="Times New Roman" w:hAnsi="Times New Roman"/>
          <w:sz w:val="24"/>
          <w:szCs w:val="24"/>
        </w:rPr>
        <w:t xml:space="preserve"> Advisory Committee</w:t>
      </w:r>
      <w:r w:rsidR="007E4CA4" w:rsidRPr="007E4CA4">
        <w:rPr>
          <w:rFonts w:ascii="Times New Roman" w:hAnsi="Times New Roman"/>
          <w:sz w:val="24"/>
          <w:szCs w:val="24"/>
        </w:rPr>
        <w:t xml:space="preserve">. Prior to the evaluation, the candidate shall submit an updated CV, current syllabi for all courses, a statement of teaching, research and service accomplishments for the previous year and a statement of goals for the upcoming year. </w:t>
      </w:r>
      <w:r w:rsidR="007E4CA4">
        <w:rPr>
          <w:rFonts w:ascii="Times New Roman" w:hAnsi="Times New Roman"/>
          <w:sz w:val="24"/>
          <w:szCs w:val="24"/>
        </w:rPr>
        <w:t xml:space="preserve">In years when a specialized faculty member is under review for promotion that review replaces the annual review. </w:t>
      </w:r>
    </w:p>
    <w:p w14:paraId="7489FF73" w14:textId="77777777" w:rsidR="008A6B6A" w:rsidRDefault="008A6B6A" w:rsidP="004D77F7">
      <w:pPr>
        <w:pStyle w:val="ListParagraph"/>
        <w:spacing w:after="0" w:line="240" w:lineRule="auto"/>
        <w:ind w:left="0"/>
        <w:contextualSpacing w:val="0"/>
        <w:rPr>
          <w:rFonts w:ascii="Times New Roman" w:hAnsi="Times New Roman"/>
          <w:sz w:val="24"/>
          <w:szCs w:val="24"/>
        </w:rPr>
      </w:pPr>
    </w:p>
    <w:sectPr w:rsidR="008A6B6A" w:rsidSect="00406B37">
      <w:footerReference w:type="defaul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2106D" w14:textId="77777777" w:rsidR="005948DC" w:rsidRDefault="005948DC" w:rsidP="005670A9">
      <w:pPr>
        <w:spacing w:after="0" w:line="240" w:lineRule="auto"/>
      </w:pPr>
      <w:r>
        <w:separator/>
      </w:r>
    </w:p>
  </w:endnote>
  <w:endnote w:type="continuationSeparator" w:id="0">
    <w:p w14:paraId="491A2259" w14:textId="77777777" w:rsidR="005948DC" w:rsidRDefault="005948DC" w:rsidP="0056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17469"/>
      <w:docPartObj>
        <w:docPartGallery w:val="Page Numbers (Bottom of Page)"/>
        <w:docPartUnique/>
      </w:docPartObj>
    </w:sdtPr>
    <w:sdtEndPr>
      <w:rPr>
        <w:noProof/>
      </w:rPr>
    </w:sdtEndPr>
    <w:sdtContent>
      <w:p w14:paraId="0C79EC93" w14:textId="5A66BDFF" w:rsidR="005670A9" w:rsidRDefault="005670A9">
        <w:pPr>
          <w:pStyle w:val="Footer"/>
          <w:jc w:val="center"/>
        </w:pPr>
        <w:r>
          <w:fldChar w:fldCharType="begin"/>
        </w:r>
        <w:r>
          <w:instrText xml:space="preserve"> PAGE   \* MERGEFORMAT </w:instrText>
        </w:r>
        <w:r>
          <w:fldChar w:fldCharType="separate"/>
        </w:r>
        <w:r w:rsidR="00584F3B">
          <w:rPr>
            <w:noProof/>
          </w:rPr>
          <w:t>1</w:t>
        </w:r>
        <w:r>
          <w:rPr>
            <w:noProof/>
          </w:rPr>
          <w:fldChar w:fldCharType="end"/>
        </w:r>
      </w:p>
    </w:sdtContent>
  </w:sdt>
  <w:p w14:paraId="2DFD2903" w14:textId="77777777" w:rsidR="005670A9" w:rsidRDefault="0056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5399F" w14:textId="77777777" w:rsidR="005948DC" w:rsidRDefault="005948DC" w:rsidP="005670A9">
      <w:pPr>
        <w:spacing w:after="0" w:line="240" w:lineRule="auto"/>
      </w:pPr>
      <w:r>
        <w:separator/>
      </w:r>
    </w:p>
  </w:footnote>
  <w:footnote w:type="continuationSeparator" w:id="0">
    <w:p w14:paraId="3559C624" w14:textId="77777777" w:rsidR="005948DC" w:rsidRDefault="005948DC" w:rsidP="00567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0EB"/>
    <w:multiLevelType w:val="hybridMultilevel"/>
    <w:tmpl w:val="A2F2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021FC"/>
    <w:multiLevelType w:val="hybridMultilevel"/>
    <w:tmpl w:val="6C3A5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335AF"/>
    <w:multiLevelType w:val="hybridMultilevel"/>
    <w:tmpl w:val="4E100A04"/>
    <w:lvl w:ilvl="0" w:tplc="F65A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C393A"/>
    <w:multiLevelType w:val="hybridMultilevel"/>
    <w:tmpl w:val="6C3A5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80433"/>
    <w:multiLevelType w:val="hybridMultilevel"/>
    <w:tmpl w:val="A47E1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66B57"/>
    <w:multiLevelType w:val="hybridMultilevel"/>
    <w:tmpl w:val="7374A0C8"/>
    <w:lvl w:ilvl="0" w:tplc="A5E26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1667F"/>
    <w:multiLevelType w:val="hybridMultilevel"/>
    <w:tmpl w:val="6C3A5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8E"/>
    <w:rsid w:val="00015BE1"/>
    <w:rsid w:val="00032425"/>
    <w:rsid w:val="000950AB"/>
    <w:rsid w:val="000C5AC9"/>
    <w:rsid w:val="000E02FC"/>
    <w:rsid w:val="0010400A"/>
    <w:rsid w:val="00120743"/>
    <w:rsid w:val="00124A57"/>
    <w:rsid w:val="0012577C"/>
    <w:rsid w:val="001365A2"/>
    <w:rsid w:val="00146788"/>
    <w:rsid w:val="0015613A"/>
    <w:rsid w:val="001A21FF"/>
    <w:rsid w:val="001A5714"/>
    <w:rsid w:val="001B375B"/>
    <w:rsid w:val="001D558B"/>
    <w:rsid w:val="00211C0E"/>
    <w:rsid w:val="00222FAA"/>
    <w:rsid w:val="00250661"/>
    <w:rsid w:val="0025240F"/>
    <w:rsid w:val="00270401"/>
    <w:rsid w:val="002A31F5"/>
    <w:rsid w:val="002A35F7"/>
    <w:rsid w:val="002E1BF0"/>
    <w:rsid w:val="00307DEF"/>
    <w:rsid w:val="00315A28"/>
    <w:rsid w:val="00331756"/>
    <w:rsid w:val="00360F6F"/>
    <w:rsid w:val="0037667D"/>
    <w:rsid w:val="003817D8"/>
    <w:rsid w:val="003B60B2"/>
    <w:rsid w:val="004005C8"/>
    <w:rsid w:val="00406B37"/>
    <w:rsid w:val="00454E14"/>
    <w:rsid w:val="004A6713"/>
    <w:rsid w:val="004C6F0A"/>
    <w:rsid w:val="004D44A2"/>
    <w:rsid w:val="004D4EB1"/>
    <w:rsid w:val="004D77F7"/>
    <w:rsid w:val="004E3B88"/>
    <w:rsid w:val="0051240C"/>
    <w:rsid w:val="00512D69"/>
    <w:rsid w:val="0056702E"/>
    <w:rsid w:val="005670A9"/>
    <w:rsid w:val="00584F3B"/>
    <w:rsid w:val="005948DC"/>
    <w:rsid w:val="005B0077"/>
    <w:rsid w:val="005D1826"/>
    <w:rsid w:val="005E656E"/>
    <w:rsid w:val="0065129B"/>
    <w:rsid w:val="0065767F"/>
    <w:rsid w:val="00674D80"/>
    <w:rsid w:val="00694212"/>
    <w:rsid w:val="0070693A"/>
    <w:rsid w:val="007427C0"/>
    <w:rsid w:val="00757633"/>
    <w:rsid w:val="0078208A"/>
    <w:rsid w:val="00783132"/>
    <w:rsid w:val="00791AD5"/>
    <w:rsid w:val="007B281A"/>
    <w:rsid w:val="007C0FE5"/>
    <w:rsid w:val="007C6823"/>
    <w:rsid w:val="007E4CA4"/>
    <w:rsid w:val="008215BF"/>
    <w:rsid w:val="00837F0A"/>
    <w:rsid w:val="00846A45"/>
    <w:rsid w:val="008501A7"/>
    <w:rsid w:val="008554AE"/>
    <w:rsid w:val="00861552"/>
    <w:rsid w:val="0088331F"/>
    <w:rsid w:val="00893D5E"/>
    <w:rsid w:val="0089770B"/>
    <w:rsid w:val="00897D39"/>
    <w:rsid w:val="008A6B6A"/>
    <w:rsid w:val="008D6837"/>
    <w:rsid w:val="008E7581"/>
    <w:rsid w:val="008F1749"/>
    <w:rsid w:val="009003C0"/>
    <w:rsid w:val="00922DBB"/>
    <w:rsid w:val="009273D4"/>
    <w:rsid w:val="00992C87"/>
    <w:rsid w:val="009D4DB1"/>
    <w:rsid w:val="009F22E6"/>
    <w:rsid w:val="00A53009"/>
    <w:rsid w:val="00A83179"/>
    <w:rsid w:val="00AB4275"/>
    <w:rsid w:val="00B254D8"/>
    <w:rsid w:val="00B438B9"/>
    <w:rsid w:val="00B53D90"/>
    <w:rsid w:val="00B54E1C"/>
    <w:rsid w:val="00B90FC8"/>
    <w:rsid w:val="00B9544B"/>
    <w:rsid w:val="00B960E3"/>
    <w:rsid w:val="00BC07EF"/>
    <w:rsid w:val="00BC7C82"/>
    <w:rsid w:val="00BF36A3"/>
    <w:rsid w:val="00C219F0"/>
    <w:rsid w:val="00C25B3E"/>
    <w:rsid w:val="00C32ABD"/>
    <w:rsid w:val="00C62158"/>
    <w:rsid w:val="00C668EB"/>
    <w:rsid w:val="00C853A6"/>
    <w:rsid w:val="00CA79A1"/>
    <w:rsid w:val="00CB5E29"/>
    <w:rsid w:val="00CE1004"/>
    <w:rsid w:val="00D10EDE"/>
    <w:rsid w:val="00D15DAD"/>
    <w:rsid w:val="00D41B80"/>
    <w:rsid w:val="00D50168"/>
    <w:rsid w:val="00D674AD"/>
    <w:rsid w:val="00DA4A66"/>
    <w:rsid w:val="00DB07DA"/>
    <w:rsid w:val="00DD138E"/>
    <w:rsid w:val="00DD3E74"/>
    <w:rsid w:val="00DE4FD8"/>
    <w:rsid w:val="00E21CE7"/>
    <w:rsid w:val="00E315F9"/>
    <w:rsid w:val="00E40255"/>
    <w:rsid w:val="00E51E64"/>
    <w:rsid w:val="00E97B3C"/>
    <w:rsid w:val="00ED172C"/>
    <w:rsid w:val="00EE155F"/>
    <w:rsid w:val="00EE3C31"/>
    <w:rsid w:val="00EF2DE9"/>
    <w:rsid w:val="00F3042A"/>
    <w:rsid w:val="00F42265"/>
    <w:rsid w:val="00F62DC0"/>
    <w:rsid w:val="00F667EC"/>
    <w:rsid w:val="00F81AC5"/>
    <w:rsid w:val="00FA70FF"/>
    <w:rsid w:val="00FB3B20"/>
    <w:rsid w:val="00FD58B5"/>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ECC4"/>
  <w15:docId w15:val="{7AE66C39-4093-4128-A996-AD3478E8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81"/>
    <w:pPr>
      <w:ind w:left="720"/>
      <w:contextualSpacing/>
    </w:pPr>
  </w:style>
  <w:style w:type="character" w:styleId="CommentReference">
    <w:name w:val="annotation reference"/>
    <w:basedOn w:val="DefaultParagraphFont"/>
    <w:uiPriority w:val="99"/>
    <w:semiHidden/>
    <w:unhideWhenUsed/>
    <w:rsid w:val="00783132"/>
    <w:rPr>
      <w:sz w:val="16"/>
      <w:szCs w:val="16"/>
    </w:rPr>
  </w:style>
  <w:style w:type="paragraph" w:styleId="CommentText">
    <w:name w:val="annotation text"/>
    <w:basedOn w:val="Normal"/>
    <w:link w:val="CommentTextChar"/>
    <w:uiPriority w:val="99"/>
    <w:semiHidden/>
    <w:unhideWhenUsed/>
    <w:rsid w:val="00783132"/>
    <w:pPr>
      <w:spacing w:line="240" w:lineRule="auto"/>
    </w:pPr>
    <w:rPr>
      <w:sz w:val="20"/>
      <w:szCs w:val="20"/>
    </w:rPr>
  </w:style>
  <w:style w:type="character" w:customStyle="1" w:styleId="CommentTextChar">
    <w:name w:val="Comment Text Char"/>
    <w:basedOn w:val="DefaultParagraphFont"/>
    <w:link w:val="CommentText"/>
    <w:uiPriority w:val="99"/>
    <w:semiHidden/>
    <w:rsid w:val="00783132"/>
    <w:rPr>
      <w:sz w:val="20"/>
      <w:szCs w:val="20"/>
    </w:rPr>
  </w:style>
  <w:style w:type="paragraph" w:styleId="CommentSubject">
    <w:name w:val="annotation subject"/>
    <w:basedOn w:val="CommentText"/>
    <w:next w:val="CommentText"/>
    <w:link w:val="CommentSubjectChar"/>
    <w:uiPriority w:val="99"/>
    <w:semiHidden/>
    <w:unhideWhenUsed/>
    <w:rsid w:val="00783132"/>
    <w:rPr>
      <w:b/>
      <w:bCs/>
    </w:rPr>
  </w:style>
  <w:style w:type="character" w:customStyle="1" w:styleId="CommentSubjectChar">
    <w:name w:val="Comment Subject Char"/>
    <w:basedOn w:val="CommentTextChar"/>
    <w:link w:val="CommentSubject"/>
    <w:uiPriority w:val="99"/>
    <w:semiHidden/>
    <w:rsid w:val="00783132"/>
    <w:rPr>
      <w:b/>
      <w:bCs/>
      <w:sz w:val="20"/>
      <w:szCs w:val="20"/>
    </w:rPr>
  </w:style>
  <w:style w:type="paragraph" w:styleId="BalloonText">
    <w:name w:val="Balloon Text"/>
    <w:basedOn w:val="Normal"/>
    <w:link w:val="BalloonTextChar"/>
    <w:uiPriority w:val="99"/>
    <w:semiHidden/>
    <w:unhideWhenUsed/>
    <w:rsid w:val="00783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32"/>
    <w:rPr>
      <w:rFonts w:ascii="Segoe UI" w:hAnsi="Segoe UI" w:cs="Segoe UI"/>
      <w:sz w:val="18"/>
      <w:szCs w:val="18"/>
    </w:rPr>
  </w:style>
  <w:style w:type="paragraph" w:styleId="Revision">
    <w:name w:val="Revision"/>
    <w:hidden/>
    <w:uiPriority w:val="99"/>
    <w:semiHidden/>
    <w:rsid w:val="00F3042A"/>
    <w:pPr>
      <w:spacing w:after="0" w:line="240" w:lineRule="auto"/>
    </w:pPr>
  </w:style>
  <w:style w:type="paragraph" w:styleId="Header">
    <w:name w:val="header"/>
    <w:basedOn w:val="Normal"/>
    <w:link w:val="HeaderChar"/>
    <w:uiPriority w:val="99"/>
    <w:unhideWhenUsed/>
    <w:rsid w:val="00567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A9"/>
  </w:style>
  <w:style w:type="paragraph" w:styleId="Footer">
    <w:name w:val="footer"/>
    <w:basedOn w:val="Normal"/>
    <w:link w:val="FooterChar"/>
    <w:uiPriority w:val="99"/>
    <w:unhideWhenUsed/>
    <w:rsid w:val="0056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0A9"/>
  </w:style>
  <w:style w:type="paragraph" w:styleId="NormalWeb">
    <w:name w:val="Normal (Web)"/>
    <w:basedOn w:val="Normal"/>
    <w:uiPriority w:val="99"/>
    <w:unhideWhenUsed/>
    <w:rsid w:val="00DA4A66"/>
    <w:pPr>
      <w:spacing w:before="100" w:beforeAutospacing="1" w:after="100" w:afterAutospacing="1" w:line="240" w:lineRule="auto"/>
    </w:pPr>
    <w:rPr>
      <w:rFonts w:ascii="Times" w:eastAsiaTheme="minorEastAsia" w:hAnsi="Times" w:cs="Times New Roman"/>
      <w:sz w:val="20"/>
      <w:szCs w:val="20"/>
    </w:rPr>
  </w:style>
  <w:style w:type="paragraph" w:styleId="DocumentMap">
    <w:name w:val="Document Map"/>
    <w:basedOn w:val="Normal"/>
    <w:link w:val="DocumentMapChar"/>
    <w:uiPriority w:val="99"/>
    <w:semiHidden/>
    <w:unhideWhenUsed/>
    <w:rsid w:val="005E656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656E"/>
    <w:rPr>
      <w:rFonts w:ascii="Times New Roman" w:hAnsi="Times New Roman" w:cs="Times New Roman"/>
      <w:sz w:val="24"/>
      <w:szCs w:val="24"/>
    </w:rPr>
  </w:style>
  <w:style w:type="character" w:styleId="Hyperlink">
    <w:name w:val="Hyperlink"/>
    <w:basedOn w:val="DefaultParagraphFont"/>
    <w:uiPriority w:val="99"/>
    <w:unhideWhenUsed/>
    <w:rsid w:val="001B375B"/>
    <w:rPr>
      <w:color w:val="0000FF" w:themeColor="hyperlink"/>
      <w:u w:val="single"/>
    </w:rPr>
  </w:style>
  <w:style w:type="character" w:styleId="FollowedHyperlink">
    <w:name w:val="FollowedHyperlink"/>
    <w:basedOn w:val="DefaultParagraphFont"/>
    <w:uiPriority w:val="99"/>
    <w:semiHidden/>
    <w:unhideWhenUsed/>
    <w:rsid w:val="00381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9810">
      <w:bodyDiv w:val="1"/>
      <w:marLeft w:val="0"/>
      <w:marRight w:val="0"/>
      <w:marTop w:val="0"/>
      <w:marBottom w:val="0"/>
      <w:divBdr>
        <w:top w:val="none" w:sz="0" w:space="0" w:color="auto"/>
        <w:left w:val="none" w:sz="0" w:space="0" w:color="auto"/>
        <w:bottom w:val="none" w:sz="0" w:space="0" w:color="auto"/>
        <w:right w:val="none" w:sz="0" w:space="0" w:color="auto"/>
      </w:divBdr>
      <w:divsChild>
        <w:div w:id="295911576">
          <w:marLeft w:val="0"/>
          <w:marRight w:val="0"/>
          <w:marTop w:val="0"/>
          <w:marBottom w:val="0"/>
          <w:divBdr>
            <w:top w:val="none" w:sz="0" w:space="0" w:color="auto"/>
            <w:left w:val="none" w:sz="0" w:space="0" w:color="auto"/>
            <w:bottom w:val="none" w:sz="0" w:space="0" w:color="auto"/>
            <w:right w:val="none" w:sz="0" w:space="0" w:color="auto"/>
          </w:divBdr>
        </w:div>
        <w:div w:id="304043618">
          <w:marLeft w:val="0"/>
          <w:marRight w:val="0"/>
          <w:marTop w:val="0"/>
          <w:marBottom w:val="0"/>
          <w:divBdr>
            <w:top w:val="none" w:sz="0" w:space="0" w:color="auto"/>
            <w:left w:val="none" w:sz="0" w:space="0" w:color="auto"/>
            <w:bottom w:val="none" w:sz="0" w:space="0" w:color="auto"/>
            <w:right w:val="none" w:sz="0" w:space="0" w:color="auto"/>
          </w:divBdr>
        </w:div>
        <w:div w:id="452404755">
          <w:marLeft w:val="0"/>
          <w:marRight w:val="0"/>
          <w:marTop w:val="0"/>
          <w:marBottom w:val="0"/>
          <w:divBdr>
            <w:top w:val="none" w:sz="0" w:space="0" w:color="auto"/>
            <w:left w:val="none" w:sz="0" w:space="0" w:color="auto"/>
            <w:bottom w:val="none" w:sz="0" w:space="0" w:color="auto"/>
            <w:right w:val="none" w:sz="0" w:space="0" w:color="auto"/>
          </w:divBdr>
        </w:div>
        <w:div w:id="641545835">
          <w:marLeft w:val="0"/>
          <w:marRight w:val="0"/>
          <w:marTop w:val="0"/>
          <w:marBottom w:val="0"/>
          <w:divBdr>
            <w:top w:val="none" w:sz="0" w:space="0" w:color="auto"/>
            <w:left w:val="none" w:sz="0" w:space="0" w:color="auto"/>
            <w:bottom w:val="none" w:sz="0" w:space="0" w:color="auto"/>
            <w:right w:val="none" w:sz="0" w:space="0" w:color="auto"/>
          </w:divBdr>
        </w:div>
        <w:div w:id="834959795">
          <w:marLeft w:val="0"/>
          <w:marRight w:val="0"/>
          <w:marTop w:val="0"/>
          <w:marBottom w:val="0"/>
          <w:divBdr>
            <w:top w:val="none" w:sz="0" w:space="0" w:color="auto"/>
            <w:left w:val="none" w:sz="0" w:space="0" w:color="auto"/>
            <w:bottom w:val="none" w:sz="0" w:space="0" w:color="auto"/>
            <w:right w:val="none" w:sz="0" w:space="0" w:color="auto"/>
          </w:divBdr>
        </w:div>
        <w:div w:id="1036393500">
          <w:marLeft w:val="0"/>
          <w:marRight w:val="0"/>
          <w:marTop w:val="0"/>
          <w:marBottom w:val="0"/>
          <w:divBdr>
            <w:top w:val="none" w:sz="0" w:space="0" w:color="auto"/>
            <w:left w:val="none" w:sz="0" w:space="0" w:color="auto"/>
            <w:bottom w:val="none" w:sz="0" w:space="0" w:color="auto"/>
            <w:right w:val="none" w:sz="0" w:space="0" w:color="auto"/>
          </w:divBdr>
        </w:div>
        <w:div w:id="1163007884">
          <w:marLeft w:val="0"/>
          <w:marRight w:val="0"/>
          <w:marTop w:val="0"/>
          <w:marBottom w:val="0"/>
          <w:divBdr>
            <w:top w:val="none" w:sz="0" w:space="0" w:color="auto"/>
            <w:left w:val="none" w:sz="0" w:space="0" w:color="auto"/>
            <w:bottom w:val="none" w:sz="0" w:space="0" w:color="auto"/>
            <w:right w:val="none" w:sz="0" w:space="0" w:color="auto"/>
          </w:divBdr>
        </w:div>
        <w:div w:id="1731994503">
          <w:marLeft w:val="0"/>
          <w:marRight w:val="0"/>
          <w:marTop w:val="0"/>
          <w:marBottom w:val="0"/>
          <w:divBdr>
            <w:top w:val="none" w:sz="0" w:space="0" w:color="auto"/>
            <w:left w:val="none" w:sz="0" w:space="0" w:color="auto"/>
            <w:bottom w:val="none" w:sz="0" w:space="0" w:color="auto"/>
            <w:right w:val="none" w:sz="0" w:space="0" w:color="auto"/>
          </w:divBdr>
        </w:div>
        <w:div w:id="1781216916">
          <w:marLeft w:val="0"/>
          <w:marRight w:val="0"/>
          <w:marTop w:val="0"/>
          <w:marBottom w:val="0"/>
          <w:divBdr>
            <w:top w:val="none" w:sz="0" w:space="0" w:color="auto"/>
            <w:left w:val="none" w:sz="0" w:space="0" w:color="auto"/>
            <w:bottom w:val="none" w:sz="0" w:space="0" w:color="auto"/>
            <w:right w:val="none" w:sz="0" w:space="0" w:color="auto"/>
          </w:divBdr>
        </w:div>
        <w:div w:id="1916209751">
          <w:marLeft w:val="0"/>
          <w:marRight w:val="0"/>
          <w:marTop w:val="0"/>
          <w:marBottom w:val="0"/>
          <w:divBdr>
            <w:top w:val="none" w:sz="0" w:space="0" w:color="auto"/>
            <w:left w:val="none" w:sz="0" w:space="0" w:color="auto"/>
            <w:bottom w:val="none" w:sz="0" w:space="0" w:color="auto"/>
            <w:right w:val="none" w:sz="0" w:space="0" w:color="auto"/>
          </w:divBdr>
        </w:div>
        <w:div w:id="1982299362">
          <w:marLeft w:val="0"/>
          <w:marRight w:val="0"/>
          <w:marTop w:val="0"/>
          <w:marBottom w:val="0"/>
          <w:divBdr>
            <w:top w:val="none" w:sz="0" w:space="0" w:color="auto"/>
            <w:left w:val="none" w:sz="0" w:space="0" w:color="auto"/>
            <w:bottom w:val="none" w:sz="0" w:space="0" w:color="auto"/>
            <w:right w:val="none" w:sz="0" w:space="0" w:color="auto"/>
          </w:divBdr>
        </w:div>
      </w:divsChild>
    </w:div>
    <w:div w:id="1245919728">
      <w:bodyDiv w:val="1"/>
      <w:marLeft w:val="0"/>
      <w:marRight w:val="0"/>
      <w:marTop w:val="0"/>
      <w:marBottom w:val="0"/>
      <w:divBdr>
        <w:top w:val="none" w:sz="0" w:space="0" w:color="auto"/>
        <w:left w:val="none" w:sz="0" w:space="0" w:color="auto"/>
        <w:bottom w:val="none" w:sz="0" w:space="0" w:color="auto"/>
        <w:right w:val="none" w:sz="0" w:space="0" w:color="auto"/>
      </w:divBdr>
      <w:divsChild>
        <w:div w:id="252126008">
          <w:marLeft w:val="0"/>
          <w:marRight w:val="0"/>
          <w:marTop w:val="0"/>
          <w:marBottom w:val="0"/>
          <w:divBdr>
            <w:top w:val="none" w:sz="0" w:space="0" w:color="auto"/>
            <w:left w:val="none" w:sz="0" w:space="0" w:color="auto"/>
            <w:bottom w:val="none" w:sz="0" w:space="0" w:color="auto"/>
            <w:right w:val="none" w:sz="0" w:space="0" w:color="auto"/>
          </w:divBdr>
        </w:div>
        <w:div w:id="496531947">
          <w:marLeft w:val="0"/>
          <w:marRight w:val="0"/>
          <w:marTop w:val="0"/>
          <w:marBottom w:val="0"/>
          <w:divBdr>
            <w:top w:val="none" w:sz="0" w:space="0" w:color="auto"/>
            <w:left w:val="none" w:sz="0" w:space="0" w:color="auto"/>
            <w:bottom w:val="none" w:sz="0" w:space="0" w:color="auto"/>
            <w:right w:val="none" w:sz="0" w:space="0" w:color="auto"/>
          </w:divBdr>
        </w:div>
        <w:div w:id="593250531">
          <w:marLeft w:val="0"/>
          <w:marRight w:val="0"/>
          <w:marTop w:val="0"/>
          <w:marBottom w:val="0"/>
          <w:divBdr>
            <w:top w:val="none" w:sz="0" w:space="0" w:color="auto"/>
            <w:left w:val="none" w:sz="0" w:space="0" w:color="auto"/>
            <w:bottom w:val="none" w:sz="0" w:space="0" w:color="auto"/>
            <w:right w:val="none" w:sz="0" w:space="0" w:color="auto"/>
          </w:divBdr>
        </w:div>
        <w:div w:id="603072904">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1029179703">
          <w:marLeft w:val="0"/>
          <w:marRight w:val="0"/>
          <w:marTop w:val="0"/>
          <w:marBottom w:val="0"/>
          <w:divBdr>
            <w:top w:val="none" w:sz="0" w:space="0" w:color="auto"/>
            <w:left w:val="none" w:sz="0" w:space="0" w:color="auto"/>
            <w:bottom w:val="none" w:sz="0" w:space="0" w:color="auto"/>
            <w:right w:val="none" w:sz="0" w:space="0" w:color="auto"/>
          </w:divBdr>
        </w:div>
        <w:div w:id="1193037894">
          <w:marLeft w:val="0"/>
          <w:marRight w:val="0"/>
          <w:marTop w:val="0"/>
          <w:marBottom w:val="0"/>
          <w:divBdr>
            <w:top w:val="none" w:sz="0" w:space="0" w:color="auto"/>
            <w:left w:val="none" w:sz="0" w:space="0" w:color="auto"/>
            <w:bottom w:val="none" w:sz="0" w:space="0" w:color="auto"/>
            <w:right w:val="none" w:sz="0" w:space="0" w:color="auto"/>
          </w:divBdr>
        </w:div>
        <w:div w:id="1307275700">
          <w:marLeft w:val="0"/>
          <w:marRight w:val="0"/>
          <w:marTop w:val="0"/>
          <w:marBottom w:val="0"/>
          <w:divBdr>
            <w:top w:val="none" w:sz="0" w:space="0" w:color="auto"/>
            <w:left w:val="none" w:sz="0" w:space="0" w:color="auto"/>
            <w:bottom w:val="none" w:sz="0" w:space="0" w:color="auto"/>
            <w:right w:val="none" w:sz="0" w:space="0" w:color="auto"/>
          </w:divBdr>
        </w:div>
        <w:div w:id="1348681211">
          <w:marLeft w:val="0"/>
          <w:marRight w:val="0"/>
          <w:marTop w:val="0"/>
          <w:marBottom w:val="0"/>
          <w:divBdr>
            <w:top w:val="none" w:sz="0" w:space="0" w:color="auto"/>
            <w:left w:val="none" w:sz="0" w:space="0" w:color="auto"/>
            <w:bottom w:val="none" w:sz="0" w:space="0" w:color="auto"/>
            <w:right w:val="none" w:sz="0" w:space="0" w:color="auto"/>
          </w:divBdr>
        </w:div>
        <w:div w:id="1578248704">
          <w:marLeft w:val="0"/>
          <w:marRight w:val="0"/>
          <w:marTop w:val="0"/>
          <w:marBottom w:val="0"/>
          <w:divBdr>
            <w:top w:val="none" w:sz="0" w:space="0" w:color="auto"/>
            <w:left w:val="none" w:sz="0" w:space="0" w:color="auto"/>
            <w:bottom w:val="none" w:sz="0" w:space="0" w:color="auto"/>
            <w:right w:val="none" w:sz="0" w:space="0" w:color="auto"/>
          </w:divBdr>
        </w:div>
        <w:div w:id="1771122250">
          <w:marLeft w:val="0"/>
          <w:marRight w:val="0"/>
          <w:marTop w:val="0"/>
          <w:marBottom w:val="0"/>
          <w:divBdr>
            <w:top w:val="none" w:sz="0" w:space="0" w:color="auto"/>
            <w:left w:val="none" w:sz="0" w:space="0" w:color="auto"/>
            <w:bottom w:val="none" w:sz="0" w:space="0" w:color="auto"/>
            <w:right w:val="none" w:sz="0" w:space="0" w:color="auto"/>
          </w:divBdr>
        </w:div>
        <w:div w:id="1788235479">
          <w:marLeft w:val="0"/>
          <w:marRight w:val="0"/>
          <w:marTop w:val="0"/>
          <w:marBottom w:val="0"/>
          <w:divBdr>
            <w:top w:val="none" w:sz="0" w:space="0" w:color="auto"/>
            <w:left w:val="none" w:sz="0" w:space="0" w:color="auto"/>
            <w:bottom w:val="none" w:sz="0" w:space="0" w:color="auto"/>
            <w:right w:val="none" w:sz="0" w:space="0" w:color="auto"/>
          </w:divBdr>
        </w:div>
        <w:div w:id="2089763193">
          <w:marLeft w:val="0"/>
          <w:marRight w:val="0"/>
          <w:marTop w:val="0"/>
          <w:marBottom w:val="0"/>
          <w:divBdr>
            <w:top w:val="none" w:sz="0" w:space="0" w:color="auto"/>
            <w:left w:val="none" w:sz="0" w:space="0" w:color="auto"/>
            <w:bottom w:val="none" w:sz="0" w:space="0" w:color="auto"/>
            <w:right w:val="none" w:sz="0" w:space="0" w:color="auto"/>
          </w:divBdr>
        </w:div>
      </w:divsChild>
    </w:div>
    <w:div w:id="1258830698">
      <w:bodyDiv w:val="1"/>
      <w:marLeft w:val="0"/>
      <w:marRight w:val="0"/>
      <w:marTop w:val="0"/>
      <w:marBottom w:val="0"/>
      <w:divBdr>
        <w:top w:val="none" w:sz="0" w:space="0" w:color="auto"/>
        <w:left w:val="none" w:sz="0" w:space="0" w:color="auto"/>
        <w:bottom w:val="none" w:sz="0" w:space="0" w:color="auto"/>
        <w:right w:val="none" w:sz="0" w:space="0" w:color="auto"/>
      </w:divBdr>
      <w:divsChild>
        <w:div w:id="276911663">
          <w:marLeft w:val="0"/>
          <w:marRight w:val="0"/>
          <w:marTop w:val="0"/>
          <w:marBottom w:val="0"/>
          <w:divBdr>
            <w:top w:val="none" w:sz="0" w:space="0" w:color="auto"/>
            <w:left w:val="none" w:sz="0" w:space="0" w:color="auto"/>
            <w:bottom w:val="none" w:sz="0" w:space="0" w:color="auto"/>
            <w:right w:val="none" w:sz="0" w:space="0" w:color="auto"/>
          </w:divBdr>
        </w:div>
        <w:div w:id="431514770">
          <w:marLeft w:val="0"/>
          <w:marRight w:val="0"/>
          <w:marTop w:val="0"/>
          <w:marBottom w:val="0"/>
          <w:divBdr>
            <w:top w:val="none" w:sz="0" w:space="0" w:color="auto"/>
            <w:left w:val="none" w:sz="0" w:space="0" w:color="auto"/>
            <w:bottom w:val="none" w:sz="0" w:space="0" w:color="auto"/>
            <w:right w:val="none" w:sz="0" w:space="0" w:color="auto"/>
          </w:divBdr>
        </w:div>
        <w:div w:id="628437749">
          <w:marLeft w:val="0"/>
          <w:marRight w:val="0"/>
          <w:marTop w:val="0"/>
          <w:marBottom w:val="0"/>
          <w:divBdr>
            <w:top w:val="none" w:sz="0" w:space="0" w:color="auto"/>
            <w:left w:val="none" w:sz="0" w:space="0" w:color="auto"/>
            <w:bottom w:val="none" w:sz="0" w:space="0" w:color="auto"/>
            <w:right w:val="none" w:sz="0" w:space="0" w:color="auto"/>
          </w:divBdr>
        </w:div>
        <w:div w:id="662896768">
          <w:marLeft w:val="0"/>
          <w:marRight w:val="0"/>
          <w:marTop w:val="0"/>
          <w:marBottom w:val="0"/>
          <w:divBdr>
            <w:top w:val="none" w:sz="0" w:space="0" w:color="auto"/>
            <w:left w:val="none" w:sz="0" w:space="0" w:color="auto"/>
            <w:bottom w:val="none" w:sz="0" w:space="0" w:color="auto"/>
            <w:right w:val="none" w:sz="0" w:space="0" w:color="auto"/>
          </w:divBdr>
        </w:div>
        <w:div w:id="812259774">
          <w:marLeft w:val="0"/>
          <w:marRight w:val="0"/>
          <w:marTop w:val="0"/>
          <w:marBottom w:val="0"/>
          <w:divBdr>
            <w:top w:val="none" w:sz="0" w:space="0" w:color="auto"/>
            <w:left w:val="none" w:sz="0" w:space="0" w:color="auto"/>
            <w:bottom w:val="none" w:sz="0" w:space="0" w:color="auto"/>
            <w:right w:val="none" w:sz="0" w:space="0" w:color="auto"/>
          </w:divBdr>
        </w:div>
        <w:div w:id="901062193">
          <w:marLeft w:val="0"/>
          <w:marRight w:val="0"/>
          <w:marTop w:val="0"/>
          <w:marBottom w:val="0"/>
          <w:divBdr>
            <w:top w:val="none" w:sz="0" w:space="0" w:color="auto"/>
            <w:left w:val="none" w:sz="0" w:space="0" w:color="auto"/>
            <w:bottom w:val="none" w:sz="0" w:space="0" w:color="auto"/>
            <w:right w:val="none" w:sz="0" w:space="0" w:color="auto"/>
          </w:divBdr>
        </w:div>
        <w:div w:id="1164778663">
          <w:marLeft w:val="0"/>
          <w:marRight w:val="0"/>
          <w:marTop w:val="0"/>
          <w:marBottom w:val="0"/>
          <w:divBdr>
            <w:top w:val="none" w:sz="0" w:space="0" w:color="auto"/>
            <w:left w:val="none" w:sz="0" w:space="0" w:color="auto"/>
            <w:bottom w:val="none" w:sz="0" w:space="0" w:color="auto"/>
            <w:right w:val="none" w:sz="0" w:space="0" w:color="auto"/>
          </w:divBdr>
        </w:div>
        <w:div w:id="1281688725">
          <w:marLeft w:val="0"/>
          <w:marRight w:val="0"/>
          <w:marTop w:val="0"/>
          <w:marBottom w:val="0"/>
          <w:divBdr>
            <w:top w:val="none" w:sz="0" w:space="0" w:color="auto"/>
            <w:left w:val="none" w:sz="0" w:space="0" w:color="auto"/>
            <w:bottom w:val="none" w:sz="0" w:space="0" w:color="auto"/>
            <w:right w:val="none" w:sz="0" w:space="0" w:color="auto"/>
          </w:divBdr>
        </w:div>
        <w:div w:id="1408265153">
          <w:marLeft w:val="0"/>
          <w:marRight w:val="0"/>
          <w:marTop w:val="0"/>
          <w:marBottom w:val="0"/>
          <w:divBdr>
            <w:top w:val="none" w:sz="0" w:space="0" w:color="auto"/>
            <w:left w:val="none" w:sz="0" w:space="0" w:color="auto"/>
            <w:bottom w:val="none" w:sz="0" w:space="0" w:color="auto"/>
            <w:right w:val="none" w:sz="0" w:space="0" w:color="auto"/>
          </w:divBdr>
        </w:div>
        <w:div w:id="1453401873">
          <w:marLeft w:val="0"/>
          <w:marRight w:val="0"/>
          <w:marTop w:val="0"/>
          <w:marBottom w:val="0"/>
          <w:divBdr>
            <w:top w:val="none" w:sz="0" w:space="0" w:color="auto"/>
            <w:left w:val="none" w:sz="0" w:space="0" w:color="auto"/>
            <w:bottom w:val="none" w:sz="0" w:space="0" w:color="auto"/>
            <w:right w:val="none" w:sz="0" w:space="0" w:color="auto"/>
          </w:divBdr>
        </w:div>
        <w:div w:id="1528252915">
          <w:marLeft w:val="0"/>
          <w:marRight w:val="0"/>
          <w:marTop w:val="0"/>
          <w:marBottom w:val="0"/>
          <w:divBdr>
            <w:top w:val="none" w:sz="0" w:space="0" w:color="auto"/>
            <w:left w:val="none" w:sz="0" w:space="0" w:color="auto"/>
            <w:bottom w:val="none" w:sz="0" w:space="0" w:color="auto"/>
            <w:right w:val="none" w:sz="0" w:space="0" w:color="auto"/>
          </w:divBdr>
        </w:div>
        <w:div w:id="1646934656">
          <w:marLeft w:val="0"/>
          <w:marRight w:val="0"/>
          <w:marTop w:val="0"/>
          <w:marBottom w:val="0"/>
          <w:divBdr>
            <w:top w:val="none" w:sz="0" w:space="0" w:color="auto"/>
            <w:left w:val="none" w:sz="0" w:space="0" w:color="auto"/>
            <w:bottom w:val="none" w:sz="0" w:space="0" w:color="auto"/>
            <w:right w:val="none" w:sz="0" w:space="0" w:color="auto"/>
          </w:divBdr>
        </w:div>
        <w:div w:id="1675962053">
          <w:marLeft w:val="0"/>
          <w:marRight w:val="0"/>
          <w:marTop w:val="0"/>
          <w:marBottom w:val="0"/>
          <w:divBdr>
            <w:top w:val="none" w:sz="0" w:space="0" w:color="auto"/>
            <w:left w:val="none" w:sz="0" w:space="0" w:color="auto"/>
            <w:bottom w:val="none" w:sz="0" w:space="0" w:color="auto"/>
            <w:right w:val="none" w:sz="0" w:space="0" w:color="auto"/>
          </w:divBdr>
        </w:div>
        <w:div w:id="1676109815">
          <w:marLeft w:val="0"/>
          <w:marRight w:val="0"/>
          <w:marTop w:val="0"/>
          <w:marBottom w:val="0"/>
          <w:divBdr>
            <w:top w:val="none" w:sz="0" w:space="0" w:color="auto"/>
            <w:left w:val="none" w:sz="0" w:space="0" w:color="auto"/>
            <w:bottom w:val="none" w:sz="0" w:space="0" w:color="auto"/>
            <w:right w:val="none" w:sz="0" w:space="0" w:color="auto"/>
          </w:divBdr>
        </w:div>
        <w:div w:id="1725061973">
          <w:marLeft w:val="0"/>
          <w:marRight w:val="0"/>
          <w:marTop w:val="0"/>
          <w:marBottom w:val="0"/>
          <w:divBdr>
            <w:top w:val="none" w:sz="0" w:space="0" w:color="auto"/>
            <w:left w:val="none" w:sz="0" w:space="0" w:color="auto"/>
            <w:bottom w:val="none" w:sz="0" w:space="0" w:color="auto"/>
            <w:right w:val="none" w:sz="0" w:space="0" w:color="auto"/>
          </w:divBdr>
        </w:div>
        <w:div w:id="1831169480">
          <w:marLeft w:val="0"/>
          <w:marRight w:val="0"/>
          <w:marTop w:val="0"/>
          <w:marBottom w:val="0"/>
          <w:divBdr>
            <w:top w:val="none" w:sz="0" w:space="0" w:color="auto"/>
            <w:left w:val="none" w:sz="0" w:space="0" w:color="auto"/>
            <w:bottom w:val="none" w:sz="0" w:space="0" w:color="auto"/>
            <w:right w:val="none" w:sz="0" w:space="0" w:color="auto"/>
          </w:divBdr>
        </w:div>
        <w:div w:id="2011524939">
          <w:marLeft w:val="0"/>
          <w:marRight w:val="0"/>
          <w:marTop w:val="0"/>
          <w:marBottom w:val="0"/>
          <w:divBdr>
            <w:top w:val="none" w:sz="0" w:space="0" w:color="auto"/>
            <w:left w:val="none" w:sz="0" w:space="0" w:color="auto"/>
            <w:bottom w:val="none" w:sz="0" w:space="0" w:color="auto"/>
            <w:right w:val="none" w:sz="0" w:space="0" w:color="auto"/>
          </w:divBdr>
        </w:div>
        <w:div w:id="2041659711">
          <w:marLeft w:val="0"/>
          <w:marRight w:val="0"/>
          <w:marTop w:val="0"/>
          <w:marBottom w:val="0"/>
          <w:divBdr>
            <w:top w:val="none" w:sz="0" w:space="0" w:color="auto"/>
            <w:left w:val="none" w:sz="0" w:space="0" w:color="auto"/>
            <w:bottom w:val="none" w:sz="0" w:space="0" w:color="auto"/>
            <w:right w:val="none" w:sz="0" w:space="0" w:color="auto"/>
          </w:divBdr>
        </w:div>
      </w:divsChild>
    </w:div>
    <w:div w:id="1263731145">
      <w:bodyDiv w:val="1"/>
      <w:marLeft w:val="0"/>
      <w:marRight w:val="0"/>
      <w:marTop w:val="0"/>
      <w:marBottom w:val="0"/>
      <w:divBdr>
        <w:top w:val="none" w:sz="0" w:space="0" w:color="auto"/>
        <w:left w:val="none" w:sz="0" w:space="0" w:color="auto"/>
        <w:bottom w:val="none" w:sz="0" w:space="0" w:color="auto"/>
        <w:right w:val="none" w:sz="0" w:space="0" w:color="auto"/>
      </w:divBdr>
      <w:divsChild>
        <w:div w:id="350648654">
          <w:marLeft w:val="0"/>
          <w:marRight w:val="0"/>
          <w:marTop w:val="0"/>
          <w:marBottom w:val="0"/>
          <w:divBdr>
            <w:top w:val="none" w:sz="0" w:space="0" w:color="auto"/>
            <w:left w:val="none" w:sz="0" w:space="0" w:color="auto"/>
            <w:bottom w:val="none" w:sz="0" w:space="0" w:color="auto"/>
            <w:right w:val="none" w:sz="0" w:space="0" w:color="auto"/>
          </w:divBdr>
        </w:div>
        <w:div w:id="379744942">
          <w:marLeft w:val="0"/>
          <w:marRight w:val="0"/>
          <w:marTop w:val="0"/>
          <w:marBottom w:val="0"/>
          <w:divBdr>
            <w:top w:val="none" w:sz="0" w:space="0" w:color="auto"/>
            <w:left w:val="none" w:sz="0" w:space="0" w:color="auto"/>
            <w:bottom w:val="none" w:sz="0" w:space="0" w:color="auto"/>
            <w:right w:val="none" w:sz="0" w:space="0" w:color="auto"/>
          </w:divBdr>
        </w:div>
        <w:div w:id="1343047220">
          <w:marLeft w:val="0"/>
          <w:marRight w:val="0"/>
          <w:marTop w:val="0"/>
          <w:marBottom w:val="0"/>
          <w:divBdr>
            <w:top w:val="none" w:sz="0" w:space="0" w:color="auto"/>
            <w:left w:val="none" w:sz="0" w:space="0" w:color="auto"/>
            <w:bottom w:val="none" w:sz="0" w:space="0" w:color="auto"/>
            <w:right w:val="none" w:sz="0" w:space="0" w:color="auto"/>
          </w:divBdr>
        </w:div>
        <w:div w:id="1568832880">
          <w:marLeft w:val="0"/>
          <w:marRight w:val="0"/>
          <w:marTop w:val="0"/>
          <w:marBottom w:val="0"/>
          <w:divBdr>
            <w:top w:val="none" w:sz="0" w:space="0" w:color="auto"/>
            <w:left w:val="none" w:sz="0" w:space="0" w:color="auto"/>
            <w:bottom w:val="none" w:sz="0" w:space="0" w:color="auto"/>
            <w:right w:val="none" w:sz="0" w:space="0" w:color="auto"/>
          </w:divBdr>
        </w:div>
      </w:divsChild>
    </w:div>
    <w:div w:id="1324312616">
      <w:bodyDiv w:val="1"/>
      <w:marLeft w:val="0"/>
      <w:marRight w:val="0"/>
      <w:marTop w:val="0"/>
      <w:marBottom w:val="0"/>
      <w:divBdr>
        <w:top w:val="none" w:sz="0" w:space="0" w:color="auto"/>
        <w:left w:val="none" w:sz="0" w:space="0" w:color="auto"/>
        <w:bottom w:val="none" w:sz="0" w:space="0" w:color="auto"/>
        <w:right w:val="none" w:sz="0" w:space="0" w:color="auto"/>
      </w:divBdr>
      <w:divsChild>
        <w:div w:id="1689797245">
          <w:marLeft w:val="0"/>
          <w:marRight w:val="0"/>
          <w:marTop w:val="0"/>
          <w:marBottom w:val="0"/>
          <w:divBdr>
            <w:top w:val="none" w:sz="0" w:space="0" w:color="auto"/>
            <w:left w:val="none" w:sz="0" w:space="0" w:color="auto"/>
            <w:bottom w:val="none" w:sz="0" w:space="0" w:color="auto"/>
            <w:right w:val="none" w:sz="0" w:space="0" w:color="auto"/>
          </w:divBdr>
        </w:div>
        <w:div w:id="1841776030">
          <w:marLeft w:val="0"/>
          <w:marRight w:val="0"/>
          <w:marTop w:val="0"/>
          <w:marBottom w:val="0"/>
          <w:divBdr>
            <w:top w:val="none" w:sz="0" w:space="0" w:color="auto"/>
            <w:left w:val="none" w:sz="0" w:space="0" w:color="auto"/>
            <w:bottom w:val="none" w:sz="0" w:space="0" w:color="auto"/>
            <w:right w:val="none" w:sz="0" w:space="0" w:color="auto"/>
          </w:divBdr>
        </w:div>
      </w:divsChild>
    </w:div>
    <w:div w:id="1915502699">
      <w:bodyDiv w:val="1"/>
      <w:marLeft w:val="0"/>
      <w:marRight w:val="0"/>
      <w:marTop w:val="0"/>
      <w:marBottom w:val="0"/>
      <w:divBdr>
        <w:top w:val="none" w:sz="0" w:space="0" w:color="auto"/>
        <w:left w:val="none" w:sz="0" w:space="0" w:color="auto"/>
        <w:bottom w:val="none" w:sz="0" w:space="0" w:color="auto"/>
        <w:right w:val="none" w:sz="0" w:space="0" w:color="auto"/>
      </w:divBdr>
      <w:divsChild>
        <w:div w:id="578446216">
          <w:marLeft w:val="0"/>
          <w:marRight w:val="0"/>
          <w:marTop w:val="0"/>
          <w:marBottom w:val="0"/>
          <w:divBdr>
            <w:top w:val="none" w:sz="0" w:space="0" w:color="auto"/>
            <w:left w:val="none" w:sz="0" w:space="0" w:color="auto"/>
            <w:bottom w:val="none" w:sz="0" w:space="0" w:color="auto"/>
            <w:right w:val="none" w:sz="0" w:space="0" w:color="auto"/>
          </w:divBdr>
        </w:div>
        <w:div w:id="1523856121">
          <w:marLeft w:val="0"/>
          <w:marRight w:val="0"/>
          <w:marTop w:val="0"/>
          <w:marBottom w:val="0"/>
          <w:divBdr>
            <w:top w:val="none" w:sz="0" w:space="0" w:color="auto"/>
            <w:left w:val="none" w:sz="0" w:space="0" w:color="auto"/>
            <w:bottom w:val="none" w:sz="0" w:space="0" w:color="auto"/>
            <w:right w:val="none" w:sz="0" w:space="0" w:color="auto"/>
          </w:divBdr>
        </w:div>
      </w:divsChild>
    </w:div>
    <w:div w:id="1948464635">
      <w:bodyDiv w:val="1"/>
      <w:marLeft w:val="0"/>
      <w:marRight w:val="0"/>
      <w:marTop w:val="0"/>
      <w:marBottom w:val="0"/>
      <w:divBdr>
        <w:top w:val="none" w:sz="0" w:space="0" w:color="auto"/>
        <w:left w:val="none" w:sz="0" w:space="0" w:color="auto"/>
        <w:bottom w:val="none" w:sz="0" w:space="0" w:color="auto"/>
        <w:right w:val="none" w:sz="0" w:space="0" w:color="auto"/>
      </w:divBdr>
      <w:divsChild>
        <w:div w:id="265503213">
          <w:marLeft w:val="0"/>
          <w:marRight w:val="0"/>
          <w:marTop w:val="0"/>
          <w:marBottom w:val="0"/>
          <w:divBdr>
            <w:top w:val="none" w:sz="0" w:space="0" w:color="auto"/>
            <w:left w:val="none" w:sz="0" w:space="0" w:color="auto"/>
            <w:bottom w:val="none" w:sz="0" w:space="0" w:color="auto"/>
            <w:right w:val="none" w:sz="0" w:space="0" w:color="auto"/>
          </w:divBdr>
        </w:div>
        <w:div w:id="677075399">
          <w:marLeft w:val="0"/>
          <w:marRight w:val="0"/>
          <w:marTop w:val="0"/>
          <w:marBottom w:val="0"/>
          <w:divBdr>
            <w:top w:val="none" w:sz="0" w:space="0" w:color="auto"/>
            <w:left w:val="none" w:sz="0" w:space="0" w:color="auto"/>
            <w:bottom w:val="none" w:sz="0" w:space="0" w:color="auto"/>
            <w:right w:val="none" w:sz="0" w:space="0" w:color="auto"/>
          </w:divBdr>
        </w:div>
        <w:div w:id="786588408">
          <w:marLeft w:val="0"/>
          <w:marRight w:val="0"/>
          <w:marTop w:val="0"/>
          <w:marBottom w:val="0"/>
          <w:divBdr>
            <w:top w:val="none" w:sz="0" w:space="0" w:color="auto"/>
            <w:left w:val="none" w:sz="0" w:space="0" w:color="auto"/>
            <w:bottom w:val="none" w:sz="0" w:space="0" w:color="auto"/>
            <w:right w:val="none" w:sz="0" w:space="0" w:color="auto"/>
          </w:divBdr>
        </w:div>
        <w:div w:id="846359302">
          <w:marLeft w:val="0"/>
          <w:marRight w:val="0"/>
          <w:marTop w:val="0"/>
          <w:marBottom w:val="0"/>
          <w:divBdr>
            <w:top w:val="none" w:sz="0" w:space="0" w:color="auto"/>
            <w:left w:val="none" w:sz="0" w:space="0" w:color="auto"/>
            <w:bottom w:val="none" w:sz="0" w:space="0" w:color="auto"/>
            <w:right w:val="none" w:sz="0" w:space="0" w:color="auto"/>
          </w:divBdr>
        </w:div>
        <w:div w:id="1253704191">
          <w:marLeft w:val="0"/>
          <w:marRight w:val="0"/>
          <w:marTop w:val="0"/>
          <w:marBottom w:val="0"/>
          <w:divBdr>
            <w:top w:val="none" w:sz="0" w:space="0" w:color="auto"/>
            <w:left w:val="none" w:sz="0" w:space="0" w:color="auto"/>
            <w:bottom w:val="none" w:sz="0" w:space="0" w:color="auto"/>
            <w:right w:val="none" w:sz="0" w:space="0" w:color="auto"/>
          </w:divBdr>
        </w:div>
        <w:div w:id="1897550685">
          <w:marLeft w:val="0"/>
          <w:marRight w:val="0"/>
          <w:marTop w:val="0"/>
          <w:marBottom w:val="0"/>
          <w:divBdr>
            <w:top w:val="none" w:sz="0" w:space="0" w:color="auto"/>
            <w:left w:val="none" w:sz="0" w:space="0" w:color="auto"/>
            <w:bottom w:val="none" w:sz="0" w:space="0" w:color="auto"/>
            <w:right w:val="none" w:sz="0" w:space="0" w:color="auto"/>
          </w:divBdr>
        </w:div>
        <w:div w:id="201032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illinois.edu/policies/provosts-communications/communication-25-employment-guidelines-for-specialized-faculty-holding-non-tenure-sys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illinois.edu/faculty/policy/documents/CollegePolicyforAppointmentorPromotionforSpecializedFaculty3-3-16.pdf" TargetMode="External"/><Relationship Id="rId5" Type="http://schemas.openxmlformats.org/officeDocument/2006/relationships/webSettings" Target="webSettings.xml"/><Relationship Id="rId10" Type="http://schemas.openxmlformats.org/officeDocument/2006/relationships/hyperlink" Target="http://www.las.illinois.edu/faculty/policy/documents/CollegePolicyforAppointmentorPromotionforSpecializedFaculty3-3-16.pdf" TargetMode="External"/><Relationship Id="rId4" Type="http://schemas.openxmlformats.org/officeDocument/2006/relationships/settings" Target="settings.xml"/><Relationship Id="rId9" Type="http://schemas.openxmlformats.org/officeDocument/2006/relationships/hyperlink" Target="https://provost.illinois.edu/policies/provosts-communications/communication-26-promotion-to-teaching-research-or-clinical-associate-or-full-professor-tit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DE6B-F030-4750-B6E5-C012A10C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4305</Words>
  <Characters>25277</Characters>
  <Application>Microsoft Office Word</Application>
  <DocSecurity>0</DocSecurity>
  <Lines>428</Lines>
  <Paragraphs>118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Caughlin, John Patrick</dc:creator>
  <cp:keywords/>
  <dc:description/>
  <cp:lastModifiedBy>Konigsberg, Lyle W</cp:lastModifiedBy>
  <cp:revision>13</cp:revision>
  <cp:lastPrinted>2017-07-06T15:57:00Z</cp:lastPrinted>
  <dcterms:created xsi:type="dcterms:W3CDTF">2018-03-26T20:20:00Z</dcterms:created>
  <dcterms:modified xsi:type="dcterms:W3CDTF">2018-04-30T18:53:00Z</dcterms:modified>
</cp:coreProperties>
</file>